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color w:val="000000"/>
          <w:kern w:val="0"/>
          <w:sz w:val="18"/>
          <w:szCs w:val="18"/>
        </w:rPr>
        <w:t>第八章</w:t>
      </w:r>
      <w:r>
        <w:rPr>
          <w:rFonts w:hint="eastAsia" w:ascii="微软雅黑" w:hAnsi="微软雅黑" w:eastAsia="微软雅黑" w:cs="微软雅黑"/>
          <w:b/>
          <w:bCs/>
          <w:color w:val="000000"/>
          <w:kern w:val="0"/>
          <w:sz w:val="18"/>
          <w:szCs w:val="18"/>
        </w:rPr>
        <w:t>建筑施工安全技术</w:t>
      </w:r>
    </w:p>
    <w:p>
      <w:pPr>
        <w:autoSpaceDE w:val="0"/>
        <w:autoSpaceDN w:val="0"/>
        <w:adjustRightInd w:val="0"/>
        <w:jc w:val="lef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color w:val="000000"/>
          <w:kern w:val="0"/>
          <w:sz w:val="18"/>
          <w:szCs w:val="18"/>
        </w:rPr>
        <w:t>大纲要求</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运用建筑施工安全相关技术和标准，辨识和分析土方、模板、吊装、拆除、脚手架工程、现场临时用电、高处作业、焊接施工等各类建筑施工作业的危险有害因素，采用相应技术措施，预防事故发生。</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考点汇总与分值解析</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drawing>
          <wp:inline distT="0" distB="0" distL="0" distR="0">
            <wp:extent cx="5274310" cy="2816225"/>
            <wp:effectExtent l="19050" t="0" r="254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4"/>
                    <a:stretch>
                      <a:fillRect/>
                    </a:stretch>
                  </pic:blipFill>
                  <pic:spPr>
                    <a:xfrm>
                      <a:off x="0" y="0"/>
                      <a:ext cx="5274310" cy="2816225"/>
                    </a:xfrm>
                    <a:prstGeom prst="rect">
                      <a:avLst/>
                    </a:prstGeom>
                  </pic:spPr>
                </pic:pic>
              </a:graphicData>
            </a:graphic>
          </wp:inline>
        </w:drawing>
      </w:r>
    </w:p>
    <w:p>
      <w:pPr>
        <w:autoSpaceDE w:val="0"/>
        <w:autoSpaceDN w:val="0"/>
        <w:adjustRightInd w:val="0"/>
        <w:jc w:val="lef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color w:val="000000"/>
          <w:kern w:val="0"/>
          <w:sz w:val="18"/>
          <w:szCs w:val="18"/>
        </w:rPr>
        <w:t>考点精编</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建筑施工的特点及伤亡事故类别(表8一1)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8—1建筑施工的特点及伤亡事故类别</w:t>
      </w:r>
    </w:p>
    <w:tbl>
      <w:tblPr>
        <w:tblStyle w:val="4"/>
        <w:tblW w:w="8409" w:type="dxa"/>
        <w:tblInd w:w="15" w:type="dxa"/>
        <w:tblLayout w:type="fixed"/>
        <w:tblCellMar>
          <w:top w:w="0" w:type="dxa"/>
          <w:left w:w="0" w:type="dxa"/>
          <w:bottom w:w="0" w:type="dxa"/>
          <w:right w:w="0" w:type="dxa"/>
        </w:tblCellMar>
      </w:tblPr>
      <w:tblGrid>
        <w:gridCol w:w="465"/>
        <w:gridCol w:w="1114"/>
        <w:gridCol w:w="9"/>
        <w:gridCol w:w="6812"/>
        <w:gridCol w:w="9"/>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建筑施工的特点</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产品固定，人员流动；露天高处作业多，手工操作，繁重体力劳动；建筑施工变化大，规则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性差，不安全因素随形象进度的变化而改变</w:t>
            </w:r>
          </w:p>
        </w:tc>
      </w:tr>
      <w:tr>
        <w:tblPrEx>
          <w:tblLayout w:type="fixed"/>
          <w:tblCellMar>
            <w:top w:w="0" w:type="dxa"/>
            <w:left w:w="0" w:type="dxa"/>
            <w:bottom w:w="0" w:type="dxa"/>
            <w:right w:w="0" w:type="dxa"/>
          </w:tblCellMar>
        </w:tblPrEx>
        <w:trPr>
          <w:trHeight w:val="316"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易发和多发事故的类别</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高处坠落、物体打击、触电、机械伤害和坍塌事故</w:t>
            </w:r>
          </w:p>
        </w:tc>
      </w:tr>
      <w:tr>
        <w:tblPrEx>
          <w:tblLayout w:type="fixed"/>
          <w:tblCellMar>
            <w:top w:w="0" w:type="dxa"/>
            <w:left w:w="0" w:type="dxa"/>
            <w:bottom w:w="0" w:type="dxa"/>
            <w:right w:w="0" w:type="dxa"/>
          </w:tblCellMar>
        </w:tblPrEx>
        <w:trPr>
          <w:gridAfter w:val="1"/>
          <w:wAfter w:w="9" w:type="dxa"/>
          <w:trHeight w:val="29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950"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高处坠落</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人员从临边、洞口，包括屋面边、楼板边、阳台边、预留洞口、电梯井口、楼梯口等处坠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落；从脚手架上坠落；龙门架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井字架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物料提升机和塔吊在安装、拆除过程坠落；安装、拆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除模板时坠落；结构和设备吊装时坠落</w:t>
            </w:r>
          </w:p>
        </w:tc>
      </w:tr>
      <w:tr>
        <w:tblPrEx>
          <w:tblLayout w:type="fixed"/>
          <w:tblCellMar>
            <w:top w:w="0" w:type="dxa"/>
            <w:left w:w="0" w:type="dxa"/>
            <w:bottom w:w="0" w:type="dxa"/>
            <w:right w:w="0" w:type="dxa"/>
          </w:tblCellMar>
        </w:tblPrEx>
        <w:trPr>
          <w:gridAfter w:val="1"/>
          <w:wAfter w:w="9" w:type="dxa"/>
          <w:trHeight w:val="955"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险源</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对经过或靠近施工现场的外电线路没有或缺少防护．在搭设钢管架、绑扎钢筋或起重吊装过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程中，碰触这些线路造成触电；使用各类电器设备触电；因电线破皮、老化，又无开关箱等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w:t>
            </w:r>
          </w:p>
        </w:tc>
      </w:tr>
      <w:tr>
        <w:tblPrEx>
          <w:tblLayout w:type="fixed"/>
          <w:tblCellMar>
            <w:top w:w="0" w:type="dxa"/>
            <w:left w:w="0" w:type="dxa"/>
            <w:bottom w:w="0" w:type="dxa"/>
            <w:right w:w="0" w:type="dxa"/>
          </w:tblCellMar>
        </w:tblPrEx>
        <w:trPr>
          <w:gridAfter w:val="1"/>
          <w:wAfter w:w="9" w:type="dxa"/>
          <w:trHeight w:val="316"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别</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物体打击</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人员受到同一垂直作业面的交叉作业中和通道口处坠落物体的打击</w:t>
            </w:r>
          </w:p>
        </w:tc>
      </w:tr>
      <w:tr>
        <w:tblPrEx>
          <w:tblLayout w:type="fixed"/>
          <w:tblCellMar>
            <w:top w:w="0" w:type="dxa"/>
            <w:left w:w="0" w:type="dxa"/>
            <w:bottom w:w="0" w:type="dxa"/>
            <w:right w:w="0" w:type="dxa"/>
          </w:tblCellMar>
        </w:tblPrEx>
        <w:trPr>
          <w:gridAfter w:val="1"/>
          <w:wAfter w:w="9" w:type="dxa"/>
          <w:trHeight w:val="321"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机械伤害</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主要是垂直运输机械设备、吊装设备、各类桩机等对人的伤害</w:t>
            </w:r>
          </w:p>
        </w:tc>
      </w:tr>
      <w:tr>
        <w:tblPrEx>
          <w:tblLayout w:type="fixed"/>
          <w:tblCellMar>
            <w:top w:w="0" w:type="dxa"/>
            <w:left w:w="0" w:type="dxa"/>
            <w:bottom w:w="0" w:type="dxa"/>
            <w:right w:w="0" w:type="dxa"/>
          </w:tblCellMar>
        </w:tblPrEx>
        <w:trPr>
          <w:gridAfter w:val="1"/>
          <w:wAfter w:w="9" w:type="dxa"/>
          <w:trHeight w:val="633"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坍塌</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施工中发生的坍塌事故主要是：现浇混凝土梁、板的模板支撑失稳倒塌、基坑边坡失稳引起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土石方坍塌、拆除工程中的坍塌、施工现场的围墙及在建工程屋面板质量低劣坍落</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施工组织设计及安全技术措施(表8—2)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表8—2施工组织设计及安全技术措施</w:t>
      </w:r>
    </w:p>
    <w:tbl>
      <w:tblPr>
        <w:tblStyle w:val="4"/>
        <w:tblW w:w="8457" w:type="dxa"/>
        <w:tblInd w:w="15" w:type="dxa"/>
        <w:tblLayout w:type="fixed"/>
        <w:tblCellMar>
          <w:top w:w="0" w:type="dxa"/>
          <w:left w:w="0" w:type="dxa"/>
          <w:bottom w:w="0" w:type="dxa"/>
          <w:right w:w="0" w:type="dxa"/>
        </w:tblCellMar>
      </w:tblPr>
      <w:tblGrid>
        <w:gridCol w:w="283"/>
        <w:gridCol w:w="393"/>
        <w:gridCol w:w="912"/>
        <w:gridCol w:w="48"/>
        <w:gridCol w:w="6754"/>
        <w:gridCol w:w="67"/>
      </w:tblGrid>
      <w:tr>
        <w:tblPrEx>
          <w:tblLayout w:type="fixed"/>
          <w:tblCellMar>
            <w:top w:w="0" w:type="dxa"/>
            <w:left w:w="0" w:type="dxa"/>
            <w:bottom w:w="0" w:type="dxa"/>
            <w:right w:w="0" w:type="dxa"/>
          </w:tblCellMar>
        </w:tblPrEx>
        <w:trPr>
          <w:gridAfter w:val="1"/>
          <w:wAfter w:w="67"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02"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67" w:type="dxa"/>
          <w:trHeight w:val="964"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建筑工程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施工组织设计</w:t>
            </w:r>
          </w:p>
          <w:p>
            <w:pPr>
              <w:autoSpaceDE w:val="0"/>
              <w:autoSpaceDN w:val="0"/>
              <w:rPr>
                <w:rFonts w:hint="eastAsia" w:ascii="微软雅黑" w:hAnsi="微软雅黑" w:eastAsia="微软雅黑" w:cs="微软雅黑"/>
                <w:color w:val="000000"/>
                <w:kern w:val="0"/>
                <w:sz w:val="18"/>
                <w:szCs w:val="18"/>
              </w:rPr>
            </w:pPr>
          </w:p>
        </w:tc>
        <w:tc>
          <w:tcPr>
            <w:tcW w:w="6802"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建筑工程施工组织设计是指导全局、统筹规划建筑丁程施工活动全过程的组织、技术、经济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文件。施工组织设计一般分为施工组织总设计、单位工程施工组织设汁和分部分项工程施工组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织设计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类</w:t>
            </w:r>
          </w:p>
        </w:tc>
      </w:tr>
      <w:tr>
        <w:tblPrEx>
          <w:tblLayout w:type="fixed"/>
          <w:tblCellMar>
            <w:top w:w="0" w:type="dxa"/>
            <w:left w:w="0" w:type="dxa"/>
            <w:bottom w:w="0" w:type="dxa"/>
            <w:right w:w="0" w:type="dxa"/>
          </w:tblCellMar>
        </w:tblPrEx>
        <w:trPr>
          <w:trHeight w:val="292" w:hRule="atLeast"/>
        </w:trPr>
        <w:tc>
          <w:tcPr>
            <w:tcW w:w="1636"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74" w:hRule="atLeast"/>
        </w:trPr>
        <w:tc>
          <w:tcPr>
            <w:tcW w:w="1636"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施工安全技术措施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施工安全技术措施是工程施工中安全生产的指令性文件，在施工现场管理中具有安全生产法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规的作用，必须认真编制和贯彻执行。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施工安全技术措施主要包括：进入施工现场的安全规定；地面及深坑作业的防护；高处及立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体交叉作业的防护；施工用电安全；机械设备的安全使用；为确保安全，对于采用的新工艺、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新材料、新技术和新结构，制定有针对性的、行之有效的专门安全技术措施；预防因自然灾害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促成事故的措施；防火防爆措施</w:t>
            </w:r>
          </w:p>
        </w:tc>
      </w:tr>
      <w:tr>
        <w:tblPrEx>
          <w:tblLayout w:type="fixed"/>
          <w:tblCellMar>
            <w:top w:w="0" w:type="dxa"/>
            <w:left w:w="0" w:type="dxa"/>
            <w:bottom w:w="0" w:type="dxa"/>
            <w:right w:w="0" w:type="dxa"/>
          </w:tblCellMar>
        </w:tblPrEx>
        <w:trPr>
          <w:trHeight w:val="648" w:hRule="atLeast"/>
        </w:trPr>
        <w:tc>
          <w:tcPr>
            <w:tcW w:w="283"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基坑支护、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降水工程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开挖深度超过</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或虽未超过</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但地质条件和周边环境复杂的基坑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支护、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降水工程</w:t>
            </w:r>
          </w:p>
        </w:tc>
      </w:tr>
      <w:tr>
        <w:tblPrEx>
          <w:tblLayout w:type="fixed"/>
          <w:tblCellMar>
            <w:top w:w="0" w:type="dxa"/>
            <w:left w:w="0" w:type="dxa"/>
            <w:bottom w:w="0" w:type="dxa"/>
            <w:right w:w="0" w:type="dxa"/>
          </w:tblCellMar>
        </w:tblPrEx>
        <w:trPr>
          <w:trHeight w:val="638" w:hRule="atLeast"/>
        </w:trPr>
        <w:tc>
          <w:tcPr>
            <w:tcW w:w="283"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土方开挖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开挖深度超过</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的基坑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的土方开挖工程</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8" w:hRule="atLeast"/>
        </w:trPr>
        <w:tc>
          <w:tcPr>
            <w:tcW w:w="283"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性较</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及支撑体系</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各类工具式模板工程；混凝土模板支撑工程；承重支撑体系</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8" w:hRule="atLeast"/>
        </w:trPr>
        <w:tc>
          <w:tcPr>
            <w:tcW w:w="283"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分部</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起重吊装及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安装拆卸工程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采用非常规起重设备、方法，且单件起吊质量在</w:t>
            </w:r>
            <w:r>
              <w:rPr>
                <w:rFonts w:hint="eastAsia" w:ascii="微软雅黑" w:hAnsi="微软雅黑" w:eastAsia="微软雅黑" w:cs="微软雅黑"/>
                <w:color w:val="000000"/>
                <w:kern w:val="0"/>
                <w:sz w:val="18"/>
                <w:szCs w:val="18"/>
              </w:rPr>
              <w:t>10kN</w:t>
            </w:r>
            <w:r>
              <w:rPr>
                <w:rFonts w:hint="eastAsia" w:ascii="微软雅黑" w:hAnsi="微软雅黑" w:eastAsia="微软雅黑" w:cs="微软雅黑"/>
                <w:color w:val="000000"/>
                <w:kern w:val="0"/>
                <w:sz w:val="18"/>
                <w:szCs w:val="18"/>
              </w:rPr>
              <w:t>及以上的起重吊装工程；采用起重机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械进行安装的工程；起重机械设备自身的安装、拆卸</w:t>
            </w:r>
          </w:p>
        </w:tc>
      </w:tr>
      <w:tr>
        <w:tblPrEx>
          <w:tblLayout w:type="fixed"/>
          <w:tblCellMar>
            <w:top w:w="0" w:type="dxa"/>
            <w:left w:w="0" w:type="dxa"/>
            <w:bottom w:w="0" w:type="dxa"/>
            <w:right w:w="0" w:type="dxa"/>
          </w:tblCellMar>
        </w:tblPrEx>
        <w:trPr>
          <w:trHeight w:val="638" w:hRule="atLeast"/>
        </w:trPr>
        <w:tc>
          <w:tcPr>
            <w:tcW w:w="283"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w:t>
            </w:r>
          </w:p>
        </w:tc>
        <w:tc>
          <w:tcPr>
            <w:tcW w:w="393"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脚手架工程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搭设高度</w:t>
            </w:r>
            <w:r>
              <w:rPr>
                <w:rFonts w:hint="eastAsia" w:ascii="微软雅黑" w:hAnsi="微软雅黑" w:eastAsia="微软雅黑" w:cs="微软雅黑"/>
                <w:color w:val="000000"/>
                <w:kern w:val="0"/>
                <w:sz w:val="18"/>
                <w:szCs w:val="18"/>
              </w:rPr>
              <w:t>24m</w:t>
            </w:r>
            <w:r>
              <w:rPr>
                <w:rFonts w:hint="eastAsia" w:ascii="微软雅黑" w:hAnsi="微软雅黑" w:eastAsia="微软雅黑" w:cs="微软雅黑"/>
                <w:color w:val="000000"/>
                <w:kern w:val="0"/>
                <w:sz w:val="18"/>
                <w:szCs w:val="18"/>
              </w:rPr>
              <w:t>及以上的落地式钢管脚手架工程；附着式整体和分片提升脚手架工程；悬挑式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脚手架工程；吊篮脚手架工程；自制卸料平台、移动操作平台工程；新型及异型脚手架工程</w:t>
            </w:r>
          </w:p>
        </w:tc>
      </w:tr>
      <w:tr>
        <w:tblPrEx>
          <w:tblLayout w:type="fixed"/>
          <w:tblCellMar>
            <w:top w:w="0" w:type="dxa"/>
            <w:left w:w="0" w:type="dxa"/>
            <w:bottom w:w="0" w:type="dxa"/>
            <w:right w:w="0" w:type="dxa"/>
          </w:tblCellMar>
        </w:tblPrEx>
        <w:trPr>
          <w:trHeight w:val="638" w:hRule="atLeast"/>
        </w:trPr>
        <w:tc>
          <w:tcPr>
            <w:tcW w:w="283"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w:t>
            </w:r>
          </w:p>
        </w:tc>
        <w:tc>
          <w:tcPr>
            <w:tcW w:w="39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拆除、爆破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建筑物、构筑物拆除工程；采用爆破拆除的工程</w:t>
            </w:r>
          </w:p>
        </w:tc>
      </w:tr>
      <w:tr>
        <w:tblPrEx>
          <w:tblLayout w:type="fixed"/>
          <w:tblCellMar>
            <w:top w:w="0" w:type="dxa"/>
            <w:left w:w="0" w:type="dxa"/>
            <w:bottom w:w="0" w:type="dxa"/>
            <w:right w:w="0" w:type="dxa"/>
          </w:tblCellMar>
        </w:tblPrEx>
        <w:trPr>
          <w:trHeight w:val="801" w:hRule="atLeast"/>
        </w:trPr>
        <w:tc>
          <w:tcPr>
            <w:tcW w:w="283"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w:t>
            </w:r>
          </w:p>
        </w:tc>
        <w:tc>
          <w:tcPr>
            <w:tcW w:w="393"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深基坑工程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开挖深度超过</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的基坑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的土方开挖、支护、降水工程；开挖深度虽未超过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，但地质条件、周围环境和地下管线复杂，或影响毗邻建筑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构筑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物安全的基坑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土方开挖、支护、降水工程</w:t>
            </w:r>
          </w:p>
        </w:tc>
      </w:tr>
      <w:tr>
        <w:tblPrEx>
          <w:tblLayout w:type="fixed"/>
          <w:tblCellMar>
            <w:top w:w="0" w:type="dxa"/>
            <w:left w:w="0" w:type="dxa"/>
            <w:bottom w:w="0" w:type="dxa"/>
            <w:right w:w="0" w:type="dxa"/>
          </w:tblCellMar>
        </w:tblPrEx>
        <w:trPr>
          <w:trHeight w:val="638" w:hRule="atLeast"/>
        </w:trPr>
        <w:tc>
          <w:tcPr>
            <w:tcW w:w="283"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w:t>
            </w:r>
          </w:p>
        </w:tc>
        <w:tc>
          <w:tcPr>
            <w:tcW w:w="39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及支撑体系</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工具式模板工程；混凝土模板支撑工程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包括：搭设高度</w:t>
            </w:r>
            <w:r>
              <w:rPr>
                <w:rFonts w:hint="eastAsia" w:ascii="微软雅黑" w:hAnsi="微软雅黑" w:eastAsia="微软雅黑" w:cs="微软雅黑"/>
                <w:color w:val="000000"/>
                <w:kern w:val="0"/>
                <w:sz w:val="18"/>
                <w:szCs w:val="18"/>
              </w:rPr>
              <w:t>8m</w:t>
            </w:r>
            <w:r>
              <w:rPr>
                <w:rFonts w:hint="eastAsia" w:ascii="微软雅黑" w:hAnsi="微软雅黑" w:eastAsia="微软雅黑" w:cs="微软雅黑"/>
                <w:color w:val="000000"/>
                <w:kern w:val="0"/>
                <w:sz w:val="18"/>
                <w:szCs w:val="18"/>
              </w:rPr>
              <w:t>及以上、搭设跨度</w:t>
            </w:r>
            <w:r>
              <w:rPr>
                <w:rFonts w:hint="eastAsia" w:ascii="微软雅黑" w:hAnsi="微软雅黑" w:eastAsia="微软雅黑" w:cs="微软雅黑"/>
                <w:color w:val="000000"/>
                <w:kern w:val="0"/>
                <w:sz w:val="18"/>
                <w:szCs w:val="18"/>
              </w:rPr>
              <w:t>18m</w:t>
            </w:r>
            <w:r>
              <w:rPr>
                <w:rFonts w:hint="eastAsia" w:ascii="微软雅黑" w:hAnsi="微软雅黑" w:eastAsia="微软雅黑" w:cs="微软雅黑"/>
                <w:color w:val="000000"/>
                <w:kern w:val="0"/>
                <w:sz w:val="18"/>
                <w:szCs w:val="18"/>
              </w:rPr>
              <w:t>及以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上、施工总荷载</w:t>
            </w:r>
            <w:r>
              <w:rPr>
                <w:rFonts w:hint="eastAsia" w:ascii="微软雅黑" w:hAnsi="微软雅黑" w:eastAsia="微软雅黑" w:cs="微软雅黑"/>
                <w:color w:val="000000"/>
                <w:kern w:val="0"/>
                <w:sz w:val="18"/>
                <w:szCs w:val="18"/>
              </w:rPr>
              <w:t>15kN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m2</w:t>
            </w:r>
            <w:r>
              <w:rPr>
                <w:rFonts w:hint="eastAsia" w:ascii="微软雅黑" w:hAnsi="微软雅黑" w:eastAsia="微软雅黑" w:cs="微软雅黑"/>
                <w:color w:val="000000"/>
                <w:kern w:val="0"/>
                <w:sz w:val="18"/>
                <w:szCs w:val="18"/>
              </w:rPr>
              <w:t>及以上、集中线荷载</w:t>
            </w:r>
            <w:r>
              <w:rPr>
                <w:rFonts w:hint="eastAsia" w:ascii="微软雅黑" w:hAnsi="微软雅黑" w:eastAsia="微软雅黑" w:cs="微软雅黑"/>
                <w:color w:val="000000"/>
                <w:kern w:val="0"/>
                <w:sz w:val="18"/>
                <w:szCs w:val="18"/>
              </w:rPr>
              <w:t>20kN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及以上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；承重支撑体系</w:t>
            </w:r>
          </w:p>
        </w:tc>
      </w:tr>
      <w:tr>
        <w:tblPrEx>
          <w:tblLayout w:type="fixed"/>
          <w:tblCellMar>
            <w:top w:w="0" w:type="dxa"/>
            <w:left w:w="0" w:type="dxa"/>
            <w:bottom w:w="0" w:type="dxa"/>
            <w:right w:w="0" w:type="dxa"/>
          </w:tblCellMar>
        </w:tblPrEx>
        <w:trPr>
          <w:trHeight w:val="638" w:hRule="atLeast"/>
        </w:trPr>
        <w:tc>
          <w:tcPr>
            <w:tcW w:w="283"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w:t>
            </w:r>
          </w:p>
        </w:tc>
        <w:tc>
          <w:tcPr>
            <w:tcW w:w="39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超过</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起重吊装及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安装拆卸工程</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采用非常规起重设备、方法，且单件起吊质量在</w:t>
            </w:r>
            <w:r>
              <w:rPr>
                <w:rFonts w:hint="eastAsia" w:ascii="微软雅黑" w:hAnsi="微软雅黑" w:eastAsia="微软雅黑" w:cs="微软雅黑"/>
                <w:color w:val="000000"/>
                <w:kern w:val="0"/>
                <w:sz w:val="18"/>
                <w:szCs w:val="18"/>
              </w:rPr>
              <w:t>100kN</w:t>
            </w:r>
            <w:r>
              <w:rPr>
                <w:rFonts w:hint="eastAsia" w:ascii="微软雅黑" w:hAnsi="微软雅黑" w:eastAsia="微软雅黑" w:cs="微软雅黑"/>
                <w:color w:val="000000"/>
                <w:kern w:val="0"/>
                <w:sz w:val="18"/>
                <w:szCs w:val="18"/>
              </w:rPr>
              <w:t>及以上的起重吊装工程；起重量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300kN</w:t>
            </w:r>
            <w:r>
              <w:rPr>
                <w:rFonts w:hint="eastAsia" w:ascii="微软雅黑" w:hAnsi="微软雅黑" w:eastAsia="微软雅黑" w:cs="微软雅黑"/>
                <w:color w:val="000000"/>
                <w:kern w:val="0"/>
                <w:sz w:val="18"/>
                <w:szCs w:val="18"/>
              </w:rPr>
              <w:t>及以上的起重设备安装工程；高度</w:t>
            </w:r>
            <w:r>
              <w:rPr>
                <w:rFonts w:hint="eastAsia" w:ascii="微软雅黑" w:hAnsi="微软雅黑" w:eastAsia="微软雅黑" w:cs="微软雅黑"/>
                <w:color w:val="000000"/>
                <w:kern w:val="0"/>
                <w:sz w:val="18"/>
                <w:szCs w:val="18"/>
              </w:rPr>
              <w:t>200m</w:t>
            </w:r>
            <w:r>
              <w:rPr>
                <w:rFonts w:hint="eastAsia" w:ascii="微软雅黑" w:hAnsi="微软雅黑" w:eastAsia="微软雅黑" w:cs="微软雅黑"/>
                <w:color w:val="000000"/>
                <w:kern w:val="0"/>
                <w:sz w:val="18"/>
                <w:szCs w:val="18"/>
              </w:rPr>
              <w:t>及以上内爬起重设备的拆除工程</w:t>
            </w:r>
          </w:p>
        </w:tc>
      </w:tr>
      <w:tr>
        <w:tblPrEx>
          <w:tblLayout w:type="fixed"/>
          <w:tblCellMar>
            <w:top w:w="0" w:type="dxa"/>
            <w:left w:w="0" w:type="dxa"/>
            <w:bottom w:w="0" w:type="dxa"/>
            <w:right w:w="0" w:type="dxa"/>
          </w:tblCellMar>
        </w:tblPrEx>
        <w:trPr>
          <w:trHeight w:val="638" w:hRule="atLeast"/>
        </w:trPr>
        <w:tc>
          <w:tcPr>
            <w:tcW w:w="283"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w:t>
            </w:r>
          </w:p>
          <w:p>
            <w:pPr>
              <w:autoSpaceDE w:val="0"/>
              <w:autoSpaceDN w:val="0"/>
              <w:rPr>
                <w:rFonts w:hint="eastAsia" w:ascii="微软雅黑" w:hAnsi="微软雅黑" w:eastAsia="微软雅黑" w:cs="微软雅黑"/>
                <w:color w:val="000000"/>
                <w:kern w:val="0"/>
                <w:sz w:val="18"/>
                <w:szCs w:val="18"/>
              </w:rPr>
            </w:pPr>
          </w:p>
        </w:tc>
        <w:tc>
          <w:tcPr>
            <w:tcW w:w="39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的危</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脚手架工程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搭设高度</w:t>
            </w:r>
            <w:r>
              <w:rPr>
                <w:rFonts w:hint="eastAsia" w:ascii="微软雅黑" w:hAnsi="微软雅黑" w:eastAsia="微软雅黑" w:cs="微软雅黑"/>
                <w:color w:val="000000"/>
                <w:kern w:val="0"/>
                <w:sz w:val="18"/>
                <w:szCs w:val="18"/>
              </w:rPr>
              <w:t>50m</w:t>
            </w:r>
            <w:r>
              <w:rPr>
                <w:rFonts w:hint="eastAsia" w:ascii="微软雅黑" w:hAnsi="微软雅黑" w:eastAsia="微软雅黑" w:cs="微软雅黑"/>
                <w:color w:val="000000"/>
                <w:kern w:val="0"/>
                <w:sz w:val="18"/>
                <w:szCs w:val="18"/>
              </w:rPr>
              <w:t>及以上落地式钢管脚手架工程；提升高度</w:t>
            </w:r>
            <w:r>
              <w:rPr>
                <w:rFonts w:hint="eastAsia" w:ascii="微软雅黑" w:hAnsi="微软雅黑" w:eastAsia="微软雅黑" w:cs="微软雅黑"/>
                <w:color w:val="000000"/>
                <w:kern w:val="0"/>
                <w:sz w:val="18"/>
                <w:szCs w:val="18"/>
              </w:rPr>
              <w:t>150m</w:t>
            </w:r>
            <w:r>
              <w:rPr>
                <w:rFonts w:hint="eastAsia" w:ascii="微软雅黑" w:hAnsi="微软雅黑" w:eastAsia="微软雅黑" w:cs="微软雅黑"/>
                <w:color w:val="000000"/>
                <w:kern w:val="0"/>
                <w:sz w:val="18"/>
                <w:szCs w:val="18"/>
              </w:rPr>
              <w:t>及以上附着式整体和分片提升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脚手架</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丁程；架体高度</w:t>
            </w:r>
            <w:r>
              <w:rPr>
                <w:rFonts w:hint="eastAsia" w:ascii="微软雅黑" w:hAnsi="微软雅黑" w:eastAsia="微软雅黑" w:cs="微软雅黑"/>
                <w:color w:val="000000"/>
                <w:kern w:val="0"/>
                <w:sz w:val="18"/>
                <w:szCs w:val="18"/>
              </w:rPr>
              <w:t>20m</w:t>
            </w:r>
            <w:r>
              <w:rPr>
                <w:rFonts w:hint="eastAsia" w:ascii="微软雅黑" w:hAnsi="微软雅黑" w:eastAsia="微软雅黑" w:cs="微软雅黑"/>
                <w:color w:val="000000"/>
                <w:kern w:val="0"/>
                <w:sz w:val="18"/>
                <w:szCs w:val="18"/>
              </w:rPr>
              <w:t>及以上悬挑式脚手架工程</w:t>
            </w:r>
          </w:p>
        </w:tc>
      </w:tr>
      <w:tr>
        <w:tblPrEx>
          <w:tblLayout w:type="fixed"/>
          <w:tblCellMar>
            <w:top w:w="0" w:type="dxa"/>
            <w:left w:w="0" w:type="dxa"/>
            <w:bottom w:w="0" w:type="dxa"/>
            <w:right w:w="0" w:type="dxa"/>
          </w:tblCellMar>
        </w:tblPrEx>
        <w:trPr>
          <w:trHeight w:val="1118" w:hRule="atLeast"/>
        </w:trPr>
        <w:tc>
          <w:tcPr>
            <w:tcW w:w="283"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部分</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拆除、爆破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采用爆破拆除的工程；码头、桥梁、高架、烟囱、水塔或拆除中容易引起有毒有害气</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液</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体或粉尘扩散、易燃易爆事故发生的特殊建、构筑物的拆除工程；可能影响行人、交通、电力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设施、通信设施或其他建、构筑物安全的拆除工程；文物保护建筑、优秀历史建筑或历史文化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风貌区控制范围的拆除工程</w:t>
            </w:r>
          </w:p>
        </w:tc>
      </w:tr>
      <w:tr>
        <w:tblPrEx>
          <w:tblLayout w:type="fixed"/>
          <w:tblCellMar>
            <w:top w:w="0" w:type="dxa"/>
            <w:left w:w="0" w:type="dxa"/>
            <w:bottom w:w="0" w:type="dxa"/>
            <w:right w:w="0" w:type="dxa"/>
          </w:tblCellMar>
        </w:tblPrEx>
        <w:trPr>
          <w:trHeight w:val="1108" w:hRule="atLeast"/>
        </w:trPr>
        <w:tc>
          <w:tcPr>
            <w:tcW w:w="283"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3"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96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施工高度</w:t>
            </w:r>
            <w:r>
              <w:rPr>
                <w:rFonts w:hint="eastAsia" w:ascii="微软雅黑" w:hAnsi="微软雅黑" w:eastAsia="微软雅黑" w:cs="微软雅黑"/>
                <w:color w:val="000000"/>
                <w:kern w:val="0"/>
                <w:sz w:val="18"/>
                <w:szCs w:val="18"/>
              </w:rPr>
              <w:t>50m</w:t>
            </w:r>
            <w:r>
              <w:rPr>
                <w:rFonts w:hint="eastAsia" w:ascii="微软雅黑" w:hAnsi="微软雅黑" w:eastAsia="微软雅黑" w:cs="微软雅黑"/>
                <w:color w:val="000000"/>
                <w:kern w:val="0"/>
                <w:sz w:val="18"/>
                <w:szCs w:val="18"/>
              </w:rPr>
              <w:t>及以上的建筑幕墙安装工程；跨度大于</w:t>
            </w:r>
            <w:r>
              <w:rPr>
                <w:rFonts w:hint="eastAsia" w:ascii="微软雅黑" w:hAnsi="微软雅黑" w:eastAsia="微软雅黑" w:cs="微软雅黑"/>
                <w:color w:val="000000"/>
                <w:kern w:val="0"/>
                <w:sz w:val="18"/>
                <w:szCs w:val="18"/>
              </w:rPr>
              <w:t>36m</w:t>
            </w:r>
            <w:r>
              <w:rPr>
                <w:rFonts w:hint="eastAsia" w:ascii="微软雅黑" w:hAnsi="微软雅黑" w:eastAsia="微软雅黑" w:cs="微软雅黑"/>
                <w:color w:val="000000"/>
                <w:kern w:val="0"/>
                <w:sz w:val="18"/>
                <w:szCs w:val="18"/>
              </w:rPr>
              <w:t>及以上的钢结构安装工程；跨度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大于</w:t>
            </w:r>
            <w:r>
              <w:rPr>
                <w:rFonts w:hint="eastAsia" w:ascii="微软雅黑" w:hAnsi="微软雅黑" w:eastAsia="微软雅黑" w:cs="微软雅黑"/>
                <w:color w:val="000000"/>
                <w:kern w:val="0"/>
                <w:sz w:val="18"/>
                <w:szCs w:val="18"/>
              </w:rPr>
              <w:t>60m</w:t>
            </w:r>
            <w:r>
              <w:rPr>
                <w:rFonts w:hint="eastAsia" w:ascii="微软雅黑" w:hAnsi="微软雅黑" w:eastAsia="微软雅黑" w:cs="微软雅黑"/>
                <w:color w:val="000000"/>
                <w:kern w:val="0"/>
                <w:sz w:val="18"/>
                <w:szCs w:val="18"/>
              </w:rPr>
              <w:t>及以上的网架和索膜结构安装工程；开挖深度超过</w:t>
            </w:r>
            <w:r>
              <w:rPr>
                <w:rFonts w:hint="eastAsia" w:ascii="微软雅黑" w:hAnsi="微软雅黑" w:eastAsia="微软雅黑" w:cs="微软雅黑"/>
                <w:color w:val="000000"/>
                <w:kern w:val="0"/>
                <w:sz w:val="18"/>
                <w:szCs w:val="18"/>
              </w:rPr>
              <w:t>16m</w:t>
            </w:r>
            <w:r>
              <w:rPr>
                <w:rFonts w:hint="eastAsia" w:ascii="微软雅黑" w:hAnsi="微软雅黑" w:eastAsia="微软雅黑" w:cs="微软雅黑"/>
                <w:color w:val="000000"/>
                <w:kern w:val="0"/>
                <w:sz w:val="18"/>
                <w:szCs w:val="18"/>
              </w:rPr>
              <w:t>的人工挖孔桩工程；地下暗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挖工程、顶管工程、水下作业工程；采用新技术、新工艺、新材料、新设备及尚无相关技术标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准的危险性较大的分部分项工程</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施工现场安全知识(表8—3)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表8—3施工现场安全知识</w:t>
      </w:r>
    </w:p>
    <w:tbl>
      <w:tblPr>
        <w:tblStyle w:val="4"/>
        <w:tblW w:w="8428" w:type="dxa"/>
        <w:tblInd w:w="15" w:type="dxa"/>
        <w:tblLayout w:type="fixed"/>
        <w:tblCellMar>
          <w:top w:w="0" w:type="dxa"/>
          <w:left w:w="0" w:type="dxa"/>
          <w:bottom w:w="0" w:type="dxa"/>
          <w:right w:w="0" w:type="dxa"/>
        </w:tblCellMar>
      </w:tblPr>
      <w:tblGrid>
        <w:gridCol w:w="811"/>
        <w:gridCol w:w="768"/>
        <w:gridCol w:w="29"/>
        <w:gridCol w:w="6782"/>
        <w:gridCol w:w="38"/>
      </w:tblGrid>
      <w:tr>
        <w:tblPrEx>
          <w:tblLayout w:type="fixed"/>
          <w:tblCellMar>
            <w:top w:w="0" w:type="dxa"/>
            <w:left w:w="0" w:type="dxa"/>
            <w:bottom w:w="0" w:type="dxa"/>
            <w:right w:w="0" w:type="dxa"/>
          </w:tblCellMar>
        </w:tblPrEx>
        <w:trPr>
          <w:gridAfter w:val="1"/>
          <w:wAfter w:w="38" w:type="dxa"/>
          <w:trHeight w:val="31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38" w:type="dxa"/>
          <w:trHeight w:val="2390"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施工现场的安全规定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悬挂标牌与安全标志。施工现场的入口处应当设置“一图五牌”。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施工现场四周用硬质材料进行围挡封闭，在市区内其高度不得低于</w:t>
            </w:r>
            <w:r>
              <w:rPr>
                <w:rFonts w:hint="eastAsia" w:ascii="微软雅黑" w:hAnsi="微软雅黑" w:eastAsia="微软雅黑" w:cs="微软雅黑"/>
                <w:color w:val="000000"/>
                <w:kern w:val="0"/>
                <w:sz w:val="18"/>
                <w:szCs w:val="18"/>
              </w:rPr>
              <w:t>1.8m</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施工现场的孔、洞、口、沟、坎、井以及建筑物临边，应当设置围挡、盖板和警示标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志，夜间应当设置警示灯。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施工现场的各类脚手架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包括操作平台及模板支撑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应当按照标准进行设计，采取符合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规定的工具和器具，按专项安全施工组织设计搭设，并用绿色密目式安全网全封闭。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施工现场的用电线路、用电设施的安装和使用应当符合临时用电规范和安全操作规程，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并按照施工组织设计进行架设，严禁任意拉线接电。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施工单位应当采取措施控制污染，做好施工现场的环境保护工作。</w:t>
            </w:r>
          </w:p>
        </w:tc>
      </w:tr>
      <w:tr>
        <w:tblPrEx>
          <w:tblLayout w:type="fixed"/>
          <w:tblCellMar>
            <w:top w:w="0" w:type="dxa"/>
            <w:left w:w="0" w:type="dxa"/>
            <w:bottom w:w="0" w:type="dxa"/>
            <w:right w:w="0" w:type="dxa"/>
          </w:tblCellMar>
        </w:tblPrEx>
        <w:trPr>
          <w:trHeight w:val="292" w:hRule="atLeast"/>
        </w:trPr>
        <w:tc>
          <w:tcPr>
            <w:tcW w:w="160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60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施工现场的安全规定</w:t>
            </w:r>
          </w:p>
          <w:p>
            <w:pPr>
              <w:autoSpaceDE w:val="0"/>
              <w:autoSpaceDN w:val="0"/>
              <w:rPr>
                <w:rFonts w:hint="eastAsia" w:ascii="微软雅黑" w:hAnsi="微软雅黑" w:eastAsia="微软雅黑" w:cs="微软雅黑"/>
                <w:color w:val="000000"/>
                <w:kern w:val="0"/>
                <w:sz w:val="18"/>
                <w:szCs w:val="18"/>
              </w:rPr>
            </w:pPr>
          </w:p>
        </w:tc>
        <w:tc>
          <w:tcPr>
            <w:tcW w:w="682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施工现场应当设置必要的生活设施，并符合国家卫生有关规定要求。应当做到生活区与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施工区、加工区的分离。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进入施工现场必须佩戴安全帽；攀登与独立悬空作业配挂安全带</w:t>
            </w:r>
          </w:p>
        </w:tc>
      </w:tr>
      <w:tr>
        <w:tblPrEx>
          <w:tblLayout w:type="fixed"/>
          <w:tblCellMar>
            <w:top w:w="0" w:type="dxa"/>
            <w:left w:w="0" w:type="dxa"/>
            <w:bottom w:w="0" w:type="dxa"/>
            <w:right w:w="0" w:type="dxa"/>
          </w:tblCellMar>
        </w:tblPrEx>
        <w:trPr>
          <w:trHeight w:val="624" w:hRule="atLeast"/>
        </w:trPr>
        <w:tc>
          <w:tcPr>
            <w:tcW w:w="160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施工过程中的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安全操作知识</w:t>
            </w:r>
          </w:p>
        </w:tc>
        <w:tc>
          <w:tcPr>
            <w:tcW w:w="682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安全防护措施和设施要不断地补充和完善。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在有限的空间交叉作业，危险因素多</w:t>
            </w:r>
          </w:p>
        </w:tc>
      </w:tr>
      <w:tr>
        <w:tblPrEx>
          <w:tblLayout w:type="fixed"/>
          <w:tblCellMar>
            <w:top w:w="0" w:type="dxa"/>
            <w:left w:w="0" w:type="dxa"/>
            <w:bottom w:w="0" w:type="dxa"/>
            <w:right w:w="0" w:type="dxa"/>
          </w:tblCellMar>
        </w:tblPrEx>
        <w:trPr>
          <w:trHeight w:val="2712" w:hRule="atLeast"/>
        </w:trPr>
        <w:tc>
          <w:tcPr>
            <w:tcW w:w="160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施工现场安全措施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安全目标管理。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文明施工。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安全技术交底。任何一项分部分项</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程在施工前，工程技术人员都应根据施工组织设计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的要求，编写有针对性的安全技术交底书，由施工员对班组工人进行交底。接受交底的工人，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听过交底后，应在交底书上签字。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安全标志。在危险处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如：起重机械、临时用电设施、脚手架、出入通道口、楼梯口、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电梯井口、孔洞口、桥梁口、隧道口、基坑边沿、爆破物及有害危险气体和液体存放处等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必须按规定悬挂醒目的安全标志牌。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季节性施工。在施工中要针对季节的变化制定相应施工措施，主要包括雨季施</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和冬季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施工。高温天气应采取防暑降温措施。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尘毒防治</w:t>
            </w:r>
          </w:p>
        </w:tc>
      </w:tr>
      <w:tr>
        <w:tblPrEx>
          <w:tblLayout w:type="fixed"/>
          <w:tblCellMar>
            <w:top w:w="0" w:type="dxa"/>
            <w:left w:w="0" w:type="dxa"/>
            <w:bottom w:w="0" w:type="dxa"/>
            <w:right w:w="0" w:type="dxa"/>
          </w:tblCellMar>
        </w:tblPrEx>
        <w:trPr>
          <w:trHeight w:val="648" w:hRule="atLeast"/>
        </w:trPr>
        <w:tc>
          <w:tcPr>
            <w:tcW w:w="811"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安全“三</w:t>
            </w: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安全帽</w:t>
            </w:r>
          </w:p>
          <w:p>
            <w:pPr>
              <w:autoSpaceDE w:val="0"/>
              <w:autoSpaceDN w:val="0"/>
              <w:rPr>
                <w:rFonts w:hint="eastAsia" w:ascii="微软雅黑" w:hAnsi="微软雅黑" w:eastAsia="微软雅黑" w:cs="微软雅黑"/>
                <w:color w:val="000000"/>
                <w:kern w:val="0"/>
                <w:sz w:val="18"/>
                <w:szCs w:val="18"/>
              </w:rPr>
            </w:pPr>
          </w:p>
        </w:tc>
        <w:tc>
          <w:tcPr>
            <w:tcW w:w="682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要正确地使用安全帽，必须做到以下</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点：帽衬顶端与帽壳内顶，必须保持</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50mm</w:t>
            </w:r>
            <w:r>
              <w:rPr>
                <w:rFonts w:hint="eastAsia" w:ascii="微软雅黑" w:hAnsi="微软雅黑" w:eastAsia="微软雅黑" w:cs="微软雅黑"/>
                <w:color w:val="000000"/>
                <w:kern w:val="0"/>
                <w:sz w:val="18"/>
                <w:szCs w:val="18"/>
              </w:rPr>
              <w:t>的空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间；必须系好下颌带；安全帽必须戴正、戴稳；在使用过程中要定期不定期进行检查</w:t>
            </w:r>
          </w:p>
        </w:tc>
      </w:tr>
      <w:tr>
        <w:tblPrEx>
          <w:tblLayout w:type="fixed"/>
          <w:tblCellMar>
            <w:top w:w="0" w:type="dxa"/>
            <w:left w:w="0" w:type="dxa"/>
            <w:bottom w:w="0" w:type="dxa"/>
            <w:right w:w="0" w:type="dxa"/>
          </w:tblCellMar>
        </w:tblPrEx>
        <w:trPr>
          <w:trHeight w:val="638" w:hRule="atLeast"/>
        </w:trPr>
        <w:tc>
          <w:tcPr>
            <w:tcW w:w="811"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宝”安全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帽、安全</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安全带</w:t>
            </w:r>
          </w:p>
          <w:p>
            <w:pPr>
              <w:autoSpaceDE w:val="0"/>
              <w:autoSpaceDN w:val="0"/>
              <w:rPr>
                <w:rFonts w:hint="eastAsia" w:ascii="微软雅黑" w:hAnsi="微软雅黑" w:eastAsia="微软雅黑" w:cs="微软雅黑"/>
                <w:color w:val="000000"/>
                <w:kern w:val="0"/>
                <w:sz w:val="18"/>
                <w:szCs w:val="18"/>
              </w:rPr>
            </w:pPr>
          </w:p>
        </w:tc>
        <w:tc>
          <w:tcPr>
            <w:tcW w:w="682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安全带可分为围杆作业安全带、区域限制安全带和坠落悬挂安全带。建筑、安装施工中大多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使用的是坠落悬挂安全带</w:t>
            </w:r>
          </w:p>
        </w:tc>
      </w:tr>
      <w:tr>
        <w:tblPrEx>
          <w:tblLayout w:type="fixed"/>
          <w:tblCellMar>
            <w:top w:w="0" w:type="dxa"/>
            <w:left w:w="0" w:type="dxa"/>
            <w:bottom w:w="0" w:type="dxa"/>
            <w:right w:w="0" w:type="dxa"/>
          </w:tblCellMar>
        </w:tblPrEx>
        <w:trPr>
          <w:trHeight w:val="782" w:hRule="atLeast"/>
        </w:trPr>
        <w:tc>
          <w:tcPr>
            <w:tcW w:w="811"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带、安全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网的正确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根据安装形式和使用目的不同，安全网可分为平网和立网两类。安装平面垂直于水平面，主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要用来接住坠落的人和物的安全网称为平网。安装平面不垂直于水平面，主要用来防止人或物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坠落的安全网称为立网</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土方工程(表8—4)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表8．4土方工程</w:t>
      </w:r>
    </w:p>
    <w:tbl>
      <w:tblPr>
        <w:tblStyle w:val="4"/>
        <w:tblW w:w="8400" w:type="dxa"/>
        <w:tblInd w:w="15" w:type="dxa"/>
        <w:tblLayout w:type="fixed"/>
        <w:tblCellMar>
          <w:top w:w="0" w:type="dxa"/>
          <w:left w:w="0" w:type="dxa"/>
          <w:bottom w:w="0" w:type="dxa"/>
          <w:right w:w="0" w:type="dxa"/>
        </w:tblCellMar>
      </w:tblPr>
      <w:tblGrid>
        <w:gridCol w:w="312"/>
        <w:gridCol w:w="316"/>
        <w:gridCol w:w="951"/>
        <w:gridCol w:w="9"/>
        <w:gridCol w:w="6812"/>
      </w:tblGrid>
      <w:tr>
        <w:tblPrEx>
          <w:tblLayout w:type="fixed"/>
          <w:tblCellMar>
            <w:top w:w="0" w:type="dxa"/>
            <w:left w:w="0" w:type="dxa"/>
            <w:bottom w:w="0" w:type="dxa"/>
            <w:right w:w="0" w:type="dxa"/>
          </w:tblCellMar>
        </w:tblPrEx>
        <w:trPr>
          <w:trHeight w:val="302" w:hRule="atLeast"/>
        </w:trPr>
        <w:tc>
          <w:tcPr>
            <w:tcW w:w="1588"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4"/>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土的分类与性质</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根据土的颗粒级配或塑性指数可分为碎石类土、砂土和黏性土。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根据土的沉积年代．黏性土又可分为：老黏性土、一般黏性土和新近沉积黏性土。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根据土的工程特性，还可分出特殊性土如软土、人工填土、素填土、杂填土等</w:t>
            </w:r>
          </w:p>
        </w:tc>
      </w:tr>
      <w:tr>
        <w:tblPrEx>
          <w:tblLayout w:type="fixed"/>
          <w:tblCellMar>
            <w:top w:w="0" w:type="dxa"/>
            <w:left w:w="0" w:type="dxa"/>
            <w:bottom w:w="0" w:type="dxa"/>
            <w:right w:w="0" w:type="dxa"/>
          </w:tblCellMar>
        </w:tblPrEx>
        <w:trPr>
          <w:trHeight w:val="643"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76"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影响边坡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稳定的冈素</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土类别、土湿化程度、气候、基坑边坡上面附加荷载或外力</w:t>
            </w:r>
          </w:p>
        </w:tc>
      </w:tr>
      <w:tr>
        <w:tblPrEx>
          <w:tblLayout w:type="fixed"/>
          <w:tblCellMar>
            <w:top w:w="0" w:type="dxa"/>
            <w:left w:w="0" w:type="dxa"/>
            <w:bottom w:w="0" w:type="dxa"/>
            <w:right w:w="0" w:type="dxa"/>
          </w:tblCellMar>
        </w:tblPrEx>
        <w:trPr>
          <w:trHeight w:val="960"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w:t>
            </w:r>
          </w:p>
        </w:tc>
        <w:tc>
          <w:tcPr>
            <w:tcW w:w="1276" w:type="dxa"/>
            <w:gridSpan w:val="3"/>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土方边坡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最陡坡度</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土方边坡的坡度以其高度</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与底宽度</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之比表示，即土方边坡坡度的大小与土质、开挖深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度、开挖方法、边坡留置时间的长短、排水情况、附近堆积荷载等有关。开挖的深度愈深，留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置时间越长，边坡应设计得平缓一些，反之则可陡一些，用井点降水时边坡可陡一些</w:t>
            </w:r>
          </w:p>
        </w:tc>
      </w:tr>
      <w:tr>
        <w:tblPrEx>
          <w:tblLayout w:type="fixed"/>
          <w:tblCellMar>
            <w:top w:w="0" w:type="dxa"/>
            <w:left w:w="0" w:type="dxa"/>
            <w:bottom w:w="0" w:type="dxa"/>
            <w:right w:w="0" w:type="dxa"/>
          </w:tblCellMar>
        </w:tblPrEx>
        <w:trPr>
          <w:trHeight w:val="643"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w:t>
            </w:r>
          </w:p>
          <w:p>
            <w:pPr>
              <w:autoSpaceDE w:val="0"/>
              <w:autoSpaceDN w:val="0"/>
              <w:rPr>
                <w:rFonts w:hint="eastAsia" w:ascii="微软雅黑" w:hAnsi="微软雅黑" w:eastAsia="微软雅黑" w:cs="微软雅黑"/>
                <w:color w:val="000000"/>
                <w:kern w:val="0"/>
                <w:sz w:val="18"/>
                <w:szCs w:val="18"/>
              </w:rPr>
            </w:pPr>
          </w:p>
        </w:tc>
        <w:tc>
          <w:tcPr>
            <w:tcW w:w="31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问断式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水平支撑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适用范围：能保持直立的于土或天然湿度的黏土类土，深度在</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以内</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3"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断续式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水平支撑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适用范围：挖掘湿度小的黏性土及挖土深度小于</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时</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连续式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水平支撑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适用范围：挖掘较潮湿的或散粒的土及挖土深度小于</w:t>
            </w:r>
            <w:r>
              <w:rPr>
                <w:rFonts w:hint="eastAsia" w:ascii="微软雅黑" w:hAnsi="微软雅黑" w:eastAsia="微软雅黑" w:cs="微软雅黑"/>
                <w:color w:val="000000"/>
                <w:kern w:val="0"/>
                <w:sz w:val="18"/>
                <w:szCs w:val="18"/>
              </w:rPr>
              <w:t>5m</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连续式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垂直支撑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适用范围：挖掘松散的或湿度很高的土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挖土深度不限</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21" w:hRule="atLeast"/>
        </w:trPr>
        <w:tc>
          <w:tcPr>
            <w:tcW w:w="31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w:t>
            </w:r>
          </w:p>
          <w:p>
            <w:pPr>
              <w:autoSpaceDE w:val="0"/>
              <w:autoSpaceDN w:val="0"/>
              <w:rPr>
                <w:rFonts w:hint="eastAsia" w:ascii="微软雅黑" w:hAnsi="微软雅黑" w:eastAsia="微软雅黑" w:cs="微软雅黑"/>
                <w:color w:val="000000"/>
                <w:kern w:val="0"/>
                <w:sz w:val="18"/>
                <w:szCs w:val="18"/>
              </w:rPr>
            </w:pP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锚拉支撑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适用范围：开挖较大基坑或使用较大型的机械挖土，而不能安装横撑对</w:t>
            </w:r>
          </w:p>
        </w:tc>
      </w:tr>
      <w:tr>
        <w:tblPrEx>
          <w:tblLayout w:type="fixed"/>
          <w:tblCellMar>
            <w:top w:w="0" w:type="dxa"/>
            <w:left w:w="0" w:type="dxa"/>
            <w:bottom w:w="0" w:type="dxa"/>
            <w:right w:w="0" w:type="dxa"/>
          </w:tblCellMar>
        </w:tblPrEx>
        <w:trPr>
          <w:trHeight w:val="321"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w:t>
            </w:r>
          </w:p>
        </w:tc>
        <w:tc>
          <w:tcPr>
            <w:tcW w:w="96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斜柱支撑</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适用范围：开挖较大基坑或使用较大型的机械挖土，而不能采用锚拉支撑时</w:t>
            </w:r>
          </w:p>
        </w:tc>
      </w:tr>
      <w:tr>
        <w:tblPrEx>
          <w:tblLayout w:type="fixed"/>
          <w:tblCellMar>
            <w:top w:w="0" w:type="dxa"/>
            <w:left w:w="0" w:type="dxa"/>
            <w:bottom w:w="0" w:type="dxa"/>
            <w:right w:w="0" w:type="dxa"/>
          </w:tblCellMar>
        </w:tblPrEx>
        <w:trPr>
          <w:trHeight w:val="624" w:hRule="atLeast"/>
        </w:trPr>
        <w:tc>
          <w:tcPr>
            <w:tcW w:w="312"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16" w:type="dxa"/>
            <w:tcBorders>
              <w:top w:val="nil"/>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96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短柱隔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断支撑</w:t>
            </w: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适用范围：开挖宽度大的基坑，当部分地段下部放坡不足时</w:t>
            </w:r>
          </w:p>
        </w:tc>
      </w:tr>
      <w:tr>
        <w:tblPrEx>
          <w:tblLayout w:type="fixed"/>
          <w:tblCellMar>
            <w:top w:w="0" w:type="dxa"/>
            <w:left w:w="0" w:type="dxa"/>
            <w:bottom w:w="0" w:type="dxa"/>
            <w:right w:w="0" w:type="dxa"/>
          </w:tblCellMar>
        </w:tblPrEx>
        <w:trPr>
          <w:trHeight w:val="297"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边</w:t>
            </w:r>
          </w:p>
        </w:tc>
        <w:tc>
          <w:tcPr>
            <w:tcW w:w="31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临时挡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土墙支撑</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适用范围：开挖宽度较大的基坑当部分地段下部放坡不足时</w:t>
            </w:r>
          </w:p>
        </w:tc>
      </w:tr>
      <w:tr>
        <w:tblPrEx>
          <w:tblLayout w:type="fixed"/>
          <w:tblCellMar>
            <w:top w:w="0" w:type="dxa"/>
            <w:left w:w="0" w:type="dxa"/>
            <w:bottom w:w="0" w:type="dxa"/>
            <w:right w:w="0" w:type="dxa"/>
          </w:tblCellMar>
        </w:tblPrEx>
        <w:trPr>
          <w:trHeight w:val="62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稳</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坑</w:t>
            </w: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混凝土或钢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筋混凝土支护</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适用范围：天然湿度的黏土类土中，地下水较少，地面荷载较大，深度</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30m</w:t>
            </w:r>
            <w:r>
              <w:rPr>
                <w:rFonts w:hint="eastAsia" w:ascii="微软雅黑" w:hAnsi="微软雅黑" w:eastAsia="微软雅黑" w:cs="微软雅黑"/>
                <w:color w:val="000000"/>
                <w:kern w:val="0"/>
                <w:sz w:val="18"/>
                <w:szCs w:val="18"/>
              </w:rPr>
              <w:t>的圆形结构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护壁或人工挖孔桩护壁用</w:t>
            </w:r>
          </w:p>
        </w:tc>
      </w:tr>
      <w:tr>
        <w:tblPrEx>
          <w:tblLayout w:type="fixed"/>
          <w:tblCellMar>
            <w:top w:w="0" w:type="dxa"/>
            <w:left w:w="0" w:type="dxa"/>
            <w:bottom w:w="0" w:type="dxa"/>
            <w:right w:w="0" w:type="dxa"/>
          </w:tblCellMar>
        </w:tblPrEx>
        <w:trPr>
          <w:trHeight w:val="312"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w:t>
            </w: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钢构架支护</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适用范围：在软弱土层中开挖较大、较深基坑，而不能用一般支护方法时</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w:t>
            </w: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地下连续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墙支护</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适用范围：开挖较大较深，周围有建筑物、公路的基坑，作为复合结构的一部分，或用于高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层建筑的逆作法施工，作为结构的地下外墙</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w:t>
            </w:r>
          </w:p>
        </w:tc>
        <w:tc>
          <w:tcPr>
            <w:tcW w:w="31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支</w:t>
            </w: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地下连续墙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锚杆支护</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适用范围：开挖较大较深</w:t>
            </w:r>
            <w:r>
              <w:rPr>
                <w:rFonts w:hint="eastAsia" w:ascii="微软雅黑" w:hAnsi="微软雅黑" w:eastAsia="微软雅黑" w:cs="微软雅黑"/>
                <w:color w:val="000000"/>
                <w:kern w:val="0"/>
                <w:sz w:val="18"/>
                <w:szCs w:val="18"/>
              </w:rPr>
              <w:t>(&gt;1Om)</w:t>
            </w:r>
            <w:r>
              <w:rPr>
                <w:rFonts w:hint="eastAsia" w:ascii="微软雅黑" w:hAnsi="微软雅黑" w:eastAsia="微软雅黑" w:cs="微软雅黑"/>
                <w:color w:val="000000"/>
                <w:kern w:val="0"/>
                <w:sz w:val="18"/>
                <w:szCs w:val="18"/>
              </w:rPr>
              <w:t>的大型基坑，周嗣有高层建筑物，不允许支护有较大变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形，采用机械挖土，不允许内部设支撑时</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w:t>
            </w:r>
          </w:p>
        </w:tc>
        <w:tc>
          <w:tcPr>
            <w:tcW w:w="316"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w:t>
            </w: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挡土护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坡桩支撑</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适用范围：开挖较大较深</w:t>
            </w:r>
            <w:r>
              <w:rPr>
                <w:rFonts w:hint="eastAsia" w:ascii="微软雅黑" w:hAnsi="微软雅黑" w:eastAsia="微软雅黑" w:cs="微软雅黑"/>
                <w:color w:val="000000"/>
                <w:kern w:val="0"/>
                <w:sz w:val="18"/>
                <w:szCs w:val="18"/>
              </w:rPr>
              <w:t>(&gt;6m)</w:t>
            </w:r>
            <w:r>
              <w:rPr>
                <w:rFonts w:hint="eastAsia" w:ascii="微软雅黑" w:hAnsi="微软雅黑" w:eastAsia="微软雅黑" w:cs="微软雅黑"/>
                <w:color w:val="000000"/>
                <w:kern w:val="0"/>
                <w:sz w:val="18"/>
                <w:szCs w:val="18"/>
              </w:rPr>
              <w:t>基坑，临近有建筑，不允许支撑有较大变形时</w:t>
            </w:r>
          </w:p>
        </w:tc>
      </w:tr>
      <w:tr>
        <w:tblPrEx>
          <w:tblLayout w:type="fixed"/>
          <w:tblCellMar>
            <w:top w:w="0" w:type="dxa"/>
            <w:left w:w="0" w:type="dxa"/>
            <w:bottom w:w="0" w:type="dxa"/>
            <w:right w:w="0" w:type="dxa"/>
          </w:tblCellMar>
        </w:tblPrEx>
        <w:trPr>
          <w:trHeight w:val="633" w:hRule="atLeast"/>
        </w:trPr>
        <w:tc>
          <w:tcPr>
            <w:tcW w:w="31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316"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95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挡土护坡桩与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锚杆结合支撑</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适用范围：大型较深基坑开挖，临近有高层建筑物建筑，不允许支护有较大变形时</w:t>
            </w:r>
          </w:p>
        </w:tc>
      </w:tr>
      <w:tr>
        <w:tblPrEx>
          <w:tblLayout w:type="fixed"/>
          <w:tblCellMar>
            <w:top w:w="0" w:type="dxa"/>
            <w:left w:w="0" w:type="dxa"/>
            <w:bottom w:w="0" w:type="dxa"/>
            <w:right w:w="0" w:type="dxa"/>
          </w:tblCellMar>
        </w:tblPrEx>
        <w:trPr>
          <w:trHeight w:val="3024" w:hRule="atLeast"/>
        </w:trPr>
        <w:tc>
          <w:tcPr>
            <w:tcW w:w="1579"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土方开挖及基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坑和边坡施工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的安全防护措施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每项工程施工时，都要编制土方工程施工方案，其内容包括施丁‘准备、开挖方法、放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坡、排水、边坡支护等，边坡支护应根据有关规范要求进行设计，并有设计计算书。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人工挖基坑时，操作人员之间要保持安全距离，一般大于</w:t>
            </w:r>
            <w:r>
              <w:rPr>
                <w:rFonts w:hint="eastAsia" w:ascii="微软雅黑" w:hAnsi="微软雅黑" w:eastAsia="微软雅黑" w:cs="微软雅黑"/>
                <w:color w:val="000000"/>
                <w:kern w:val="0"/>
                <w:sz w:val="18"/>
                <w:szCs w:val="18"/>
              </w:rPr>
              <w:t>2.5m</w:t>
            </w:r>
            <w:r>
              <w:rPr>
                <w:rFonts w:hint="eastAsia" w:ascii="微软雅黑" w:hAnsi="微软雅黑" w:eastAsia="微软雅黑" w:cs="微软雅黑"/>
                <w:color w:val="000000"/>
                <w:kern w:val="0"/>
                <w:sz w:val="18"/>
                <w:szCs w:val="18"/>
              </w:rPr>
              <w:t>；多台机械开挖，挖土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机间距应大于</w:t>
            </w:r>
            <w:r>
              <w:rPr>
                <w:rFonts w:hint="eastAsia" w:ascii="微软雅黑" w:hAnsi="微软雅黑" w:eastAsia="微软雅黑" w:cs="微软雅黑"/>
                <w:color w:val="000000"/>
                <w:kern w:val="0"/>
                <w:sz w:val="18"/>
                <w:szCs w:val="18"/>
              </w:rPr>
              <w:t>10m</w:t>
            </w:r>
            <w:r>
              <w:rPr>
                <w:rFonts w:hint="eastAsia" w:ascii="微软雅黑" w:hAnsi="微软雅黑" w:eastAsia="微软雅黑" w:cs="微软雅黑"/>
                <w:color w:val="000000"/>
                <w:kern w:val="0"/>
                <w:sz w:val="18"/>
                <w:szCs w:val="18"/>
              </w:rPr>
              <w:t>，挖土要自上而下，逐层进行，严禁先挖坡脚的危险作业。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挖土方前对周围环境要认真检查，不能在危险岩石或建筑物下面进行作业。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基坑开挖应严格按要求放坡，操作时应随时注意边坡的稳定情况，发现问题时及时加固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机械挖土，多台机同时开挖土方时．应验算边坡的稳定。根据规定和计算确定挖土机离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边坡的安全距离。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深基坑四周设防护栏杆，人员上下要有专用爬梯。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运土道路的坡度、转弯半径要符合有关规定。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土方爆破时要遵守爆破作业的有关规定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模板</w:t>
      </w:r>
      <w:r>
        <w:rPr>
          <w:rFonts w:hint="eastAsia" w:ascii="微软雅黑" w:hAnsi="微软雅黑" w:eastAsia="微软雅黑" w:cs="微软雅黑"/>
          <w:color w:val="000000"/>
          <w:sz w:val="18"/>
          <w:szCs w:val="18"/>
        </w:rPr>
        <w:t>工程</w:t>
      </w:r>
      <w:r>
        <w:rPr>
          <w:rFonts w:hint="eastAsia" w:ascii="微软雅黑" w:hAnsi="微软雅黑" w:eastAsia="微软雅黑" w:cs="微软雅黑"/>
          <w:color w:val="000000"/>
          <w:sz w:val="18"/>
          <w:szCs w:val="18"/>
        </w:rPr>
        <w:t>(表8—5)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表8—5模板工程</w:t>
      </w:r>
    </w:p>
    <w:tbl>
      <w:tblPr>
        <w:tblStyle w:val="4"/>
        <w:tblW w:w="8409" w:type="dxa"/>
        <w:tblInd w:w="15" w:type="dxa"/>
        <w:tblLayout w:type="fixed"/>
        <w:tblCellMar>
          <w:top w:w="0" w:type="dxa"/>
          <w:left w:w="0" w:type="dxa"/>
          <w:bottom w:w="0" w:type="dxa"/>
          <w:right w:w="0" w:type="dxa"/>
        </w:tblCellMar>
      </w:tblPr>
      <w:tblGrid>
        <w:gridCol w:w="312"/>
        <w:gridCol w:w="1276"/>
        <w:gridCol w:w="6812"/>
        <w:gridCol w:w="9"/>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模板的分类</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定型组合模板、墙体大模板、飞模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台模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、滑升模板、一般木模板</w:t>
            </w:r>
          </w:p>
        </w:tc>
      </w:tr>
      <w:tr>
        <w:tblPrEx>
          <w:tblLayout w:type="fixed"/>
          <w:tblCellMar>
            <w:top w:w="0" w:type="dxa"/>
            <w:left w:w="0" w:type="dxa"/>
            <w:bottom w:w="0" w:type="dxa"/>
            <w:right w:w="0" w:type="dxa"/>
          </w:tblCellMar>
        </w:tblPrEx>
        <w:trPr>
          <w:gridAfter w:val="1"/>
          <w:wAfter w:w="9" w:type="dxa"/>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777"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模板的构造和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使用材料的性能</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一般模板通常由</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部分组成：模板面、支撑结构和连接配件。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模板的结构设计，必须能承受作用于模板结构上的所有垂直荷载和水平荷载。在所有可能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产生的荷载中要选择最不利的组合验算模板整体结构和构件及配件的强度、稳定性和刚度</w:t>
            </w:r>
          </w:p>
        </w:tc>
      </w:tr>
      <w:tr>
        <w:tblPrEx>
          <w:tblLayout w:type="fixed"/>
          <w:tblCellMar>
            <w:top w:w="0" w:type="dxa"/>
            <w:left w:w="0" w:type="dxa"/>
            <w:bottom w:w="0" w:type="dxa"/>
            <w:right w:w="0" w:type="dxa"/>
          </w:tblCellMar>
        </w:tblPrEx>
        <w:trPr>
          <w:gridAfter w:val="1"/>
          <w:wAfter w:w="9" w:type="dxa"/>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荷载规定</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设计模板首先要确定模板应承受的荷载。荷载分为荷载标准值、荷载设计值和荷载组合</w:t>
            </w:r>
          </w:p>
        </w:tc>
      </w:tr>
      <w:tr>
        <w:tblPrEx>
          <w:tblLayout w:type="fixed"/>
          <w:tblCellMar>
            <w:top w:w="0" w:type="dxa"/>
            <w:left w:w="0" w:type="dxa"/>
            <w:bottom w:w="0" w:type="dxa"/>
            <w:right w:w="0" w:type="dxa"/>
          </w:tblCellMar>
        </w:tblPrEx>
        <w:trPr>
          <w:gridAfter w:val="1"/>
          <w:wAfter w:w="9" w:type="dxa"/>
          <w:trHeight w:val="63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设计计算</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模板及其支架的设计应根据工程结构形式、荷载大小、地基土类别、施工设备和材料供应等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条件进行</w:t>
            </w:r>
          </w:p>
        </w:tc>
      </w:tr>
      <w:tr>
        <w:tblPrEx>
          <w:tblLayout w:type="fixed"/>
          <w:tblCellMar>
            <w:top w:w="0" w:type="dxa"/>
            <w:left w:w="0" w:type="dxa"/>
            <w:bottom w:w="0" w:type="dxa"/>
            <w:right w:w="0" w:type="dxa"/>
          </w:tblCellMar>
        </w:tblPrEx>
        <w:trPr>
          <w:gridAfter w:val="1"/>
          <w:wAfter w:w="9" w:type="dxa"/>
          <w:trHeight w:val="4315"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模板的安装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对模板施工队进行全面的安全技术交底，施工队应是具有资质的队伍。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挑选合格的模板和配件。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模板安装应按设计与施工说明书循序拼装。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竖向模板和支架支承部分安装在基土上时，应加设垫板，如钢管垫板上应加底座。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模板及其支架在安装过程中，必须设置有效防倾覆的临时固定设施。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现浇钢筋混凝土梁、板，当跨度大于</w:t>
            </w:r>
            <w:r>
              <w:rPr>
                <w:rFonts w:hint="eastAsia" w:ascii="微软雅黑" w:hAnsi="微软雅黑" w:eastAsia="微软雅黑" w:cs="微软雅黑"/>
                <w:color w:val="000000"/>
                <w:kern w:val="0"/>
                <w:sz w:val="18"/>
                <w:szCs w:val="18"/>
              </w:rPr>
              <w:t>4m</w:t>
            </w:r>
            <w:r>
              <w:rPr>
                <w:rFonts w:hint="eastAsia" w:ascii="微软雅黑" w:hAnsi="微软雅黑" w:eastAsia="微软雅黑" w:cs="微软雅黑"/>
                <w:color w:val="000000"/>
                <w:kern w:val="0"/>
                <w:sz w:val="18"/>
                <w:szCs w:val="18"/>
              </w:rPr>
              <w:t>时，模板应起拱；当设计无具体要求时，起拱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高度宜为全跨长度的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现浇多层或高层房屋和构筑物，安装上层模板及其支架应符合相关规定。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当层问高度大于</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时，宜选用桁架支模或多层支架支模。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模板安装作业高度超过</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Om</w:t>
            </w:r>
            <w:r>
              <w:rPr>
                <w:rFonts w:hint="eastAsia" w:ascii="微软雅黑" w:hAnsi="微软雅黑" w:eastAsia="微软雅黑" w:cs="微软雅黑"/>
                <w:color w:val="000000"/>
                <w:kern w:val="0"/>
                <w:sz w:val="18"/>
                <w:szCs w:val="18"/>
              </w:rPr>
              <w:t>时，必须搭设脚手架或平台。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模板安装时，上下应有人接应，随装随运，严禁抛掷。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五级风及其以上应停止一切吊运作业。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拼装高度为</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以上的竖向模板，不得站在下层模板上拼装上层模板。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当支撑成一定角度倾斜，或其支撑的表面倾斜时，应采取可靠措施确保支点稳定，支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撑底脚必须有防滑移的措施。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除设计图另有规定者外，所有垂直支架柱应保证其垂直。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已安装好的模板上的实际荷载不得超过设计值</w:t>
            </w:r>
          </w:p>
        </w:tc>
      </w:tr>
      <w:tr>
        <w:tblPrEx>
          <w:tblLayout w:type="fixed"/>
          <w:tblCellMar>
            <w:top w:w="0" w:type="dxa"/>
            <w:left w:w="0" w:type="dxa"/>
            <w:bottom w:w="0" w:type="dxa"/>
            <w:right w:w="0" w:type="dxa"/>
          </w:tblCellMar>
        </w:tblPrEx>
        <w:trPr>
          <w:gridAfter w:val="1"/>
          <w:wAfter w:w="9" w:type="dxa"/>
          <w:trHeight w:val="643"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w:t>
            </w:r>
          </w:p>
        </w:tc>
        <w:tc>
          <w:tcPr>
            <w:tcW w:w="127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现浇楼盖及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框架结构拆模</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一般现浇楼盖及框架结构的拆模顺序如下：拆柱模斜撑与柱箍→拆柱侧模→拆楼板底模→拆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梁侧模→拆梁底模</w:t>
            </w:r>
          </w:p>
        </w:tc>
      </w:tr>
      <w:tr>
        <w:tblPrEx>
          <w:tblLayout w:type="fixed"/>
          <w:tblCellMar>
            <w:top w:w="0" w:type="dxa"/>
            <w:left w:w="0" w:type="dxa"/>
            <w:bottom w:w="0" w:type="dxa"/>
            <w:right w:w="0" w:type="dxa"/>
          </w:tblCellMar>
        </w:tblPrEx>
        <w:trPr>
          <w:gridAfter w:val="1"/>
          <w:wAfter w:w="9" w:type="dxa"/>
          <w:trHeight w:val="628" w:hRule="atLeast"/>
        </w:trPr>
        <w:tc>
          <w:tcPr>
            <w:tcW w:w="31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w:t>
            </w:r>
          </w:p>
          <w:p>
            <w:pPr>
              <w:autoSpaceDE w:val="0"/>
              <w:autoSpaceDN w:val="0"/>
              <w:rPr>
                <w:rFonts w:hint="eastAsia" w:ascii="微软雅黑" w:hAnsi="微软雅黑" w:eastAsia="微软雅黑" w:cs="微软雅黑"/>
                <w:color w:val="000000"/>
                <w:kern w:val="0"/>
                <w:sz w:val="18"/>
                <w:szCs w:val="18"/>
              </w:rPr>
            </w:pPr>
          </w:p>
        </w:tc>
        <w:tc>
          <w:tcPr>
            <w:tcW w:w="127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现浇柱模板拆除</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柱模板拆除顺序如下：拆除斜撑或拉杆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或钢拉条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 xml:space="preserve"> →自上而下拆除柱箍或横楞→拆除竖楞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并由上向下拆除模板连接件、模板面</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建筑构件及设备吊装工程(表8—6)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表8—6建筑构件及设备吊装工程</w:t>
      </w:r>
    </w:p>
    <w:tbl>
      <w:tblPr>
        <w:tblStyle w:val="4"/>
        <w:tblW w:w="8428" w:type="dxa"/>
        <w:tblInd w:w="15" w:type="dxa"/>
        <w:tblLayout w:type="fixed"/>
        <w:tblCellMar>
          <w:top w:w="0" w:type="dxa"/>
          <w:left w:w="0" w:type="dxa"/>
          <w:bottom w:w="0" w:type="dxa"/>
          <w:right w:w="0" w:type="dxa"/>
        </w:tblCellMar>
      </w:tblPr>
      <w:tblGrid>
        <w:gridCol w:w="1608"/>
        <w:gridCol w:w="6820"/>
      </w:tblGrid>
      <w:tr>
        <w:tblPrEx>
          <w:tblLayout w:type="fixed"/>
          <w:tblCellMar>
            <w:top w:w="0" w:type="dxa"/>
            <w:left w:w="0" w:type="dxa"/>
            <w:bottom w:w="0" w:type="dxa"/>
            <w:right w:w="0" w:type="dxa"/>
          </w:tblCellMar>
        </w:tblPrEx>
        <w:trPr>
          <w:trHeight w:val="302" w:hRule="atLeast"/>
        </w:trPr>
        <w:tc>
          <w:tcPr>
            <w:tcW w:w="160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3"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千斤顶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按其构造工作原理分为齿条式、螺旋式和液压式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齿条式千斤顶起重能力较小，一般为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5t</w:t>
            </w:r>
            <w:r>
              <w:rPr>
                <w:rFonts w:hint="eastAsia" w:ascii="微软雅黑" w:hAnsi="微软雅黑" w:eastAsia="微软雅黑" w:cs="微软雅黑"/>
                <w:color w:val="000000"/>
                <w:kern w:val="0"/>
                <w:sz w:val="18"/>
                <w:szCs w:val="18"/>
              </w:rPr>
              <w:t>，最大的起重量约为</w:t>
            </w:r>
            <w:r>
              <w:rPr>
                <w:rFonts w:hint="eastAsia" w:ascii="微软雅黑" w:hAnsi="微软雅黑" w:eastAsia="微软雅黑" w:cs="微软雅黑"/>
                <w:color w:val="000000"/>
                <w:kern w:val="0"/>
                <w:sz w:val="18"/>
                <w:szCs w:val="18"/>
              </w:rPr>
              <w:t>15t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螺旋式千斤顶起重量较大，可达</w:t>
            </w:r>
            <w:r>
              <w:rPr>
                <w:rFonts w:hint="eastAsia" w:ascii="微软雅黑" w:hAnsi="微软雅黑" w:eastAsia="微软雅黑" w:cs="微软雅黑"/>
                <w:color w:val="000000"/>
                <w:kern w:val="0"/>
                <w:sz w:val="18"/>
                <w:szCs w:val="18"/>
              </w:rPr>
              <w:t>5t</w:t>
            </w:r>
            <w:r>
              <w:rPr>
                <w:rFonts w:hint="eastAsia" w:ascii="微软雅黑" w:hAnsi="微软雅黑" w:eastAsia="微软雅黑" w:cs="微软雅黑"/>
                <w:color w:val="000000"/>
                <w:kern w:val="0"/>
                <w:sz w:val="18"/>
                <w:szCs w:val="18"/>
              </w:rPr>
              <w:t>，它和齿条式千斤顶都能在水平方向操作使用。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油压千斤顶具有起重量大、操作省力、上升平稳、安全可靠等优点，但它的上升速度比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齿条式、螺旋式千斤顶要慢，一般的不能在水平方向操作使用，油压千斤顶的起重量为</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30t</w:t>
            </w:r>
            <w:r>
              <w:rPr>
                <w:rFonts w:hint="eastAsia" w:ascii="微软雅黑" w:hAnsi="微软雅黑" w:eastAsia="微软雅黑" w:cs="微软雅黑"/>
                <w:color w:val="000000"/>
                <w:kern w:val="0"/>
                <w:sz w:val="18"/>
                <w:szCs w:val="18"/>
              </w:rPr>
              <w:t>，最大可达</w:t>
            </w:r>
            <w:r>
              <w:rPr>
                <w:rFonts w:hint="eastAsia" w:ascii="微软雅黑" w:hAnsi="微软雅黑" w:eastAsia="微软雅黑" w:cs="微软雅黑"/>
                <w:color w:val="000000"/>
                <w:kern w:val="0"/>
                <w:sz w:val="18"/>
                <w:szCs w:val="18"/>
              </w:rPr>
              <w:t>500t</w:t>
            </w:r>
            <w:r>
              <w:rPr>
                <w:rFonts w:hint="eastAsia" w:ascii="微软雅黑" w:hAnsi="微软雅黑" w:eastAsia="微软雅黑" w:cs="微软雅黑"/>
                <w:color w:val="000000"/>
                <w:kern w:val="0"/>
                <w:sz w:val="18"/>
                <w:szCs w:val="18"/>
              </w:rPr>
              <w:t>；起升的高度为</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200mm</w:t>
            </w:r>
          </w:p>
        </w:tc>
      </w:tr>
      <w:tr>
        <w:tblPrEx>
          <w:tblLayout w:type="fixed"/>
          <w:tblCellMar>
            <w:top w:w="0" w:type="dxa"/>
            <w:left w:w="0" w:type="dxa"/>
            <w:bottom w:w="0" w:type="dxa"/>
            <w:right w:w="0" w:type="dxa"/>
          </w:tblCellMar>
        </w:tblPrEx>
        <w:trPr>
          <w:trHeight w:val="1603"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倒链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适用于小型设备和重物的短距离吊装，一般的起重量为</w:t>
            </w:r>
            <w:r>
              <w:rPr>
                <w:rFonts w:hint="eastAsia" w:ascii="微软雅黑" w:hAnsi="微软雅黑" w:eastAsia="微软雅黑" w:cs="微软雅黑"/>
                <w:color w:val="000000"/>
                <w:kern w:val="0"/>
                <w:sz w:val="18"/>
                <w:szCs w:val="18"/>
              </w:rPr>
              <w:t>0.5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1t</w:t>
            </w:r>
            <w:r>
              <w:rPr>
                <w:rFonts w:hint="eastAsia" w:ascii="微软雅黑" w:hAnsi="微软雅黑" w:eastAsia="微软雅黑" w:cs="微软雅黑"/>
                <w:color w:val="000000"/>
                <w:kern w:val="0"/>
                <w:sz w:val="18"/>
                <w:szCs w:val="18"/>
              </w:rPr>
              <w:t>，最大可达</w:t>
            </w:r>
            <w:r>
              <w:rPr>
                <w:rFonts w:hint="eastAsia" w:ascii="微软雅黑" w:hAnsi="微软雅黑" w:eastAsia="微软雅黑" w:cs="微软雅黑"/>
                <w:color w:val="000000"/>
                <w:kern w:val="0"/>
                <w:sz w:val="18"/>
                <w:szCs w:val="18"/>
              </w:rPr>
              <w:t>2t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使用前需检查确认各部位灵敏无损。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起重时．不能超出起重能力，在任何方向使用时，拉链方向应与链轮方向相同，要注意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防止手拉链脱槽，拉链子的力量要均匀，不能过快过猛。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要根据倒链的起重能力决定拉链的人数。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起吊重物中途停止时，要将手拉小链拴在起重链轮的大链上，以防时间过长而自锁失灵</w:t>
            </w:r>
          </w:p>
        </w:tc>
      </w:tr>
      <w:tr>
        <w:tblPrEx>
          <w:tblLayout w:type="fixed"/>
          <w:tblCellMar>
            <w:top w:w="0" w:type="dxa"/>
            <w:left w:w="0" w:type="dxa"/>
            <w:bottom w:w="0" w:type="dxa"/>
            <w:right w:w="0" w:type="dxa"/>
          </w:tblCellMar>
        </w:tblPrEx>
        <w:trPr>
          <w:trHeight w:val="1281"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卡环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卡环必须是锻造的．一般是用</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号钢锻造后经过热处理而制成的。不能使用铸造的和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补焊的卡环。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在使用时不得超过规定的荷载，并应使卡环销子与环底受力</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即于高度方向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，不能横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向受力。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抽销卡环经常用于柱子的吊装</w:t>
            </w:r>
          </w:p>
        </w:tc>
      </w:tr>
      <w:tr>
        <w:tblPrEx>
          <w:tblLayout w:type="fixed"/>
          <w:tblCellMar>
            <w:top w:w="0" w:type="dxa"/>
            <w:left w:w="0" w:type="dxa"/>
            <w:bottom w:w="0" w:type="dxa"/>
            <w:right w:w="0" w:type="dxa"/>
          </w:tblCellMar>
        </w:tblPrEx>
        <w:trPr>
          <w:trHeight w:val="2395"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绳卡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绳卡是起重吊装作业中用的较广的钢丝绳夹具。通常用的钢丝绳卡子，有骑马式、拳握式和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压板式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种。其巾骑马式卡是连接力最强的标准钢丝绳卡子，应用最广。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绳卡的使用要注意以下事项：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卡子的大小要适合钢丝绳的粗细，</w:t>
            </w:r>
            <w:r>
              <w:rPr>
                <w:rFonts w:hint="eastAsia" w:ascii="微软雅黑" w:hAnsi="微软雅黑" w:eastAsia="微软雅黑" w:cs="微软雅黑"/>
                <w:color w:val="000000"/>
                <w:kern w:val="0"/>
                <w:sz w:val="18"/>
                <w:szCs w:val="18"/>
              </w:rPr>
              <w:t>U</w:t>
            </w:r>
            <w:r>
              <w:rPr>
                <w:rFonts w:hint="eastAsia" w:ascii="微软雅黑" w:hAnsi="微软雅黑" w:eastAsia="微软雅黑" w:cs="微软雅黑"/>
                <w:color w:val="000000"/>
                <w:kern w:val="0"/>
                <w:sz w:val="18"/>
                <w:szCs w:val="18"/>
              </w:rPr>
              <w:t>形环的内侧净距要比钢丝绳直径大</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3mm</w:t>
            </w:r>
            <w:r>
              <w:rPr>
                <w:rFonts w:hint="eastAsia" w:ascii="微软雅黑" w:hAnsi="微软雅黑" w:eastAsia="微软雅黑" w:cs="微软雅黑"/>
                <w:color w:val="000000"/>
                <w:kern w:val="0"/>
                <w:sz w:val="18"/>
                <w:szCs w:val="18"/>
              </w:rPr>
              <w:t>，净距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太大不易卡紧绳子。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使用时，要把</w:t>
            </w:r>
            <w:r>
              <w:rPr>
                <w:rFonts w:hint="eastAsia" w:ascii="微软雅黑" w:hAnsi="微软雅黑" w:eastAsia="微软雅黑" w:cs="微软雅黑"/>
                <w:color w:val="000000"/>
                <w:kern w:val="0"/>
                <w:sz w:val="18"/>
                <w:szCs w:val="18"/>
              </w:rPr>
              <w:t>U</w:t>
            </w:r>
            <w:r>
              <w:rPr>
                <w:rFonts w:hint="eastAsia" w:ascii="微软雅黑" w:hAnsi="微软雅黑" w:eastAsia="微软雅黑" w:cs="微软雅黑"/>
                <w:color w:val="000000"/>
                <w:kern w:val="0"/>
                <w:sz w:val="18"/>
                <w:szCs w:val="18"/>
              </w:rPr>
              <w:t>形螺栓拧紧，直到钢丝绳被压扁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左右为止。安全绳卡安装在距最后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一个绳卡约</w:t>
            </w:r>
            <w:r>
              <w:rPr>
                <w:rFonts w:hint="eastAsia" w:ascii="微软雅黑" w:hAnsi="微软雅黑" w:eastAsia="微软雅黑" w:cs="微软雅黑"/>
                <w:color w:val="000000"/>
                <w:kern w:val="0"/>
                <w:sz w:val="18"/>
                <w:szCs w:val="18"/>
              </w:rPr>
              <w:t>500mm</w:t>
            </w:r>
            <w:r>
              <w:rPr>
                <w:rFonts w:hint="eastAsia" w:ascii="微软雅黑" w:hAnsi="微软雅黑" w:eastAsia="微软雅黑" w:cs="微软雅黑"/>
                <w:color w:val="000000"/>
                <w:kern w:val="0"/>
                <w:sz w:val="18"/>
                <w:szCs w:val="18"/>
              </w:rPr>
              <w:t>左右，将绳头放出一段安全弯后再与主绳夹紧。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绳卡之间的排列问距一般为钢丝绳直径的</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倍，绳卡要一顺排列，应将</w:t>
            </w:r>
            <w:r>
              <w:rPr>
                <w:rFonts w:hint="eastAsia" w:ascii="微软雅黑" w:hAnsi="微软雅黑" w:eastAsia="微软雅黑" w:cs="微软雅黑"/>
                <w:color w:val="000000"/>
                <w:kern w:val="0"/>
                <w:sz w:val="18"/>
                <w:szCs w:val="18"/>
              </w:rPr>
              <w:t>u</w:t>
            </w:r>
            <w:r>
              <w:rPr>
                <w:rFonts w:hint="eastAsia" w:ascii="微软雅黑" w:hAnsi="微软雅黑" w:eastAsia="微软雅黑" w:cs="微软雅黑"/>
                <w:color w:val="000000"/>
                <w:kern w:val="0"/>
                <w:sz w:val="18"/>
                <w:szCs w:val="18"/>
              </w:rPr>
              <w:t>形环部分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卡在绳头的一面，压板放在主绳的一面</w:t>
            </w:r>
          </w:p>
        </w:tc>
      </w:tr>
      <w:tr>
        <w:tblPrEx>
          <w:tblLayout w:type="fixed"/>
          <w:tblCellMar>
            <w:top w:w="0" w:type="dxa"/>
            <w:left w:w="0" w:type="dxa"/>
            <w:bottom w:w="0" w:type="dxa"/>
            <w:right w:w="0" w:type="dxa"/>
          </w:tblCellMar>
        </w:tblPrEx>
        <w:trPr>
          <w:trHeight w:val="801"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吊钩</w:t>
            </w: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吊钩根据外形的不同，分单钩和双钩两种。单钩一般在中小型的起重机上用，也是常用的起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重工具之一。在使用上单钩较双钩简便，但受力条件没有双钩好，所以起重量大的起重机用双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钩较多。双钩多用在桥式机门座式的起重机上</w:t>
            </w:r>
          </w:p>
        </w:tc>
      </w:tr>
      <w:tr>
        <w:tblPrEx>
          <w:tblLayout w:type="fixed"/>
          <w:tblCellMar>
            <w:top w:w="0" w:type="dxa"/>
            <w:left w:w="0" w:type="dxa"/>
            <w:bottom w:w="0" w:type="dxa"/>
            <w:right w:w="0" w:type="dxa"/>
          </w:tblCellMar>
        </w:tblPrEx>
        <w:trPr>
          <w:trHeight w:val="796"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手搬葫芦</w:t>
            </w: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具有结构紧凑、体积小、自重轻、携带方便、性能稳定等特点。使用手搬葫芦时，起重量不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准超过允许荷载，要按照标记的起重量使用；不能任意加长手柄，应用钢心的钢丝绳作业</w:t>
            </w:r>
          </w:p>
        </w:tc>
      </w:tr>
      <w:tr>
        <w:tblPrEx>
          <w:tblLayout w:type="fixed"/>
          <w:tblCellMar>
            <w:top w:w="0" w:type="dxa"/>
            <w:left w:w="0" w:type="dxa"/>
            <w:bottom w:w="0" w:type="dxa"/>
            <w:right w:w="0" w:type="dxa"/>
          </w:tblCellMar>
        </w:tblPrEx>
        <w:trPr>
          <w:trHeight w:val="316" w:hRule="atLeast"/>
        </w:trPr>
        <w:tc>
          <w:tcPr>
            <w:tcW w:w="160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绞磨</w:t>
            </w:r>
          </w:p>
        </w:tc>
        <w:tc>
          <w:tcPr>
            <w:tcW w:w="682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主要用于起重速度不快、没有电动卷扬机、亦没有电源的偏僻地区及牵引力不大的施工作业</w:t>
            </w:r>
          </w:p>
        </w:tc>
      </w:tr>
      <w:tr>
        <w:tblPrEx>
          <w:tblLayout w:type="fixed"/>
          <w:tblCellMar>
            <w:top w:w="0" w:type="dxa"/>
            <w:left w:w="0" w:type="dxa"/>
            <w:bottom w:w="0" w:type="dxa"/>
            <w:right w:w="0" w:type="dxa"/>
          </w:tblCellMar>
        </w:tblPrEx>
        <w:trPr>
          <w:trHeight w:val="638" w:hRule="atLeast"/>
        </w:trPr>
        <w:tc>
          <w:tcPr>
            <w:tcW w:w="160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滑车和滑车组</w:t>
            </w:r>
          </w:p>
          <w:p>
            <w:pPr>
              <w:autoSpaceDE w:val="0"/>
              <w:autoSpaceDN w:val="0"/>
              <w:rPr>
                <w:rFonts w:hint="eastAsia" w:ascii="微软雅黑" w:hAnsi="微软雅黑" w:eastAsia="微软雅黑" w:cs="微软雅黑"/>
                <w:color w:val="000000"/>
                <w:kern w:val="0"/>
                <w:sz w:val="18"/>
                <w:szCs w:val="18"/>
              </w:rPr>
            </w:pPr>
          </w:p>
        </w:tc>
        <w:tc>
          <w:tcPr>
            <w:tcW w:w="682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滑车和滑车组是起重吊装、搬运作业中较常用的起重工具。滑车是由吊钩链环、滑轮、轴、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轴套和夹板等组成</w:t>
            </w:r>
          </w:p>
        </w:tc>
      </w:tr>
    </w:tbl>
    <w:p>
      <w:pPr>
        <w:autoSpaceDE w:val="0"/>
        <w:autoSpaceDN w:val="0"/>
        <w:adjustRightInd w:val="0"/>
        <w:jc w:val="left"/>
        <w:rPr>
          <w:rFonts w:hint="eastAsia" w:ascii="微软雅黑" w:hAnsi="微软雅黑" w:eastAsia="微软雅黑" w:cs="微软雅黑"/>
          <w:color w:val="000000"/>
          <w:kern w:val="0"/>
          <w:sz w:val="18"/>
          <w:szCs w:val="18"/>
        </w:rPr>
      </w:pP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64"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柱子的吊装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起吊时要观察卡环的方位与绳扣的变化情况，发现有异常现象时要采取有效的措施，保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证吊装的安全。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吊装前要检查柱脚或杯底的平直度，如误差较大造成点接触或线接触时，应预先剔乎或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抹平，以保柱子的稳定。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柱子临时固定用的楔子，每边不少于</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个，在脱钩前要检查柱脚是否落至杯底，防止在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校正过程中．因柱脚悬空，在松动楔子时柱子突然下落发生倾倒。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无论是有缆风绳或无缆风绳校正，都应在吊装完后，立即进行，其间隔不得过长，更不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能过夜，防止刮大风发生事故</w:t>
            </w:r>
          </w:p>
        </w:tc>
      </w:tr>
      <w:tr>
        <w:tblPrEx>
          <w:tblLayout w:type="fixed"/>
          <w:tblCellMar>
            <w:top w:w="0" w:type="dxa"/>
            <w:left w:w="0" w:type="dxa"/>
            <w:bottom w:w="0" w:type="dxa"/>
            <w:right w:w="0" w:type="dxa"/>
          </w:tblCellMar>
        </w:tblPrEx>
        <w:trPr>
          <w:trHeight w:val="1276"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行车梁、屋架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的吊装</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行车梁的吊装要在柱子杯口二次灌缝的混凝土强度达到</w:t>
            </w:r>
            <w:r>
              <w:rPr>
                <w:rFonts w:hint="eastAsia" w:ascii="微软雅黑" w:hAnsi="微软雅黑" w:eastAsia="微软雅黑" w:cs="微软雅黑"/>
                <w:color w:val="000000"/>
                <w:kern w:val="0"/>
                <w:sz w:val="18"/>
                <w:szCs w:val="18"/>
              </w:rPr>
              <w:t>70</w:t>
            </w:r>
            <w:r>
              <w:rPr>
                <w:rFonts w:hint="eastAsia" w:ascii="微软雅黑" w:hAnsi="微软雅黑" w:eastAsia="微软雅黑" w:cs="微软雅黑"/>
                <w:color w:val="000000"/>
                <w:kern w:val="0"/>
                <w:sz w:val="18"/>
                <w:szCs w:val="18"/>
              </w:rPr>
              <w:t>％以后进行。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吊装前要搭设操作平台或脚手架，操作人员应在架子上操作，不可站在柱顶或牛腿上，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以及不牢固的地方安装构件。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屋架吊装前要挂好安全网，安全网要随吊装面移动而增加</w:t>
            </w:r>
          </w:p>
        </w:tc>
      </w:tr>
      <w:tr>
        <w:tblPrEx>
          <w:tblLayout w:type="fixed"/>
          <w:tblCellMar>
            <w:top w:w="0" w:type="dxa"/>
            <w:left w:w="0" w:type="dxa"/>
            <w:bottom w:w="0" w:type="dxa"/>
            <w:right w:w="0" w:type="dxa"/>
          </w:tblCellMar>
        </w:tblPrEx>
        <w:trPr>
          <w:trHeight w:val="1910"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设备吊装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在安装过程中，如发现问题应及时采取措施，处理后再继续起吊。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用扒杆吊装大型设备．多台卷扬机联合操作时，各卷扬机的卷扬速度应相同，要保证设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备上各吊点受力大致趋于均匀，避免设备变形。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采用回转法或扳倒法吊装塔罐时，塔体底部安装的铰腕必须具有抵抗起吊过程中所产生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水平推力的能力，起吊过程中塔体的左右溜绳必须牢靠，塔体回转就位高度时，使其慢慢落入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基础，避免发生意外和变形。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在架体上或建筑物上安装设备时，其强度和稳定性要达到安装条件的要求</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拆除工程(表8—7)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表8—7拆除工程</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拆除工程施工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常用的方法</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对于建筑物和构筑物拆除的方法很多，主要有</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类：人工拆除、机械拆除和爆破拆除</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9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拆除工程施工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安全规定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拆除工程施</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组织设计或方案应针对拟拆除的建筑物、构筑物的周围环境；建筑物、构筑物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结构类型；各部构件受力状况；水、电、暖、燃气布置情况；以及采取拆除施工方法等进行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编制</w:t>
            </w:r>
          </w:p>
        </w:tc>
      </w:tr>
      <w:tr>
        <w:tblPrEx>
          <w:tblLayout w:type="fixed"/>
          <w:tblCellMar>
            <w:top w:w="0" w:type="dxa"/>
            <w:left w:w="0" w:type="dxa"/>
            <w:bottom w:w="0" w:type="dxa"/>
            <w:right w:w="0" w:type="dxa"/>
          </w:tblCellMar>
        </w:tblPrEx>
        <w:trPr>
          <w:trHeight w:val="95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采用控制爆破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拆除工程的规定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必须经过爆破设计，对起爆点、引爆物、用药量和爆破程序进行严格计算。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爆破材料严格分类存放在安全的库房内。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要严格进行保管、领取、使用爆炸材料登记手续</w:t>
            </w:r>
          </w:p>
        </w:tc>
      </w:tr>
      <w:tr>
        <w:tblPrEx>
          <w:tblLayout w:type="fixed"/>
          <w:tblCellMar>
            <w:top w:w="0" w:type="dxa"/>
            <w:left w:w="0" w:type="dxa"/>
            <w:bottom w:w="0" w:type="dxa"/>
            <w:right w:w="0" w:type="dxa"/>
          </w:tblCellMar>
        </w:tblPrEx>
        <w:trPr>
          <w:trHeight w:val="287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安全技术交底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应建立和坚持在工程开工前进行层层安全技术交底制度。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安全技术交底要求。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施工安全技术总措施，应由组织编制该措施的技术负责人向项目工程施工负责人、施丁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技术负责人及施工管理人员进行安全技术交底。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单位工程施工安全技术措施，应由组织编制该措施的负责人向各工种施工负责人、作业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班组长进行安全技术交底。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专项施工安全技术措施应由项目工程技术负责人向专业施工队伍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班组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全体作业人员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进行安全技术交底。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各级专职安全管理人员应参加安全技术交底会，并监证。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安全技术措施的实施。安全技术措施中的各种安全设施、安全防护设备都应列入任务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单，责任落实到班组、个人</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垂直运输机械</w:t>
      </w:r>
      <w:r>
        <w:rPr>
          <w:rFonts w:hint="eastAsia" w:ascii="微软雅黑" w:hAnsi="微软雅黑" w:eastAsia="微软雅黑" w:cs="微软雅黑"/>
          <w:color w:val="000000"/>
          <w:sz w:val="18"/>
          <w:szCs w:val="18"/>
        </w:rPr>
        <w:t>(表8—8)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8—8垂直运输机械</w:t>
      </w:r>
    </w:p>
    <w:tbl>
      <w:tblPr>
        <w:tblStyle w:val="4"/>
        <w:tblW w:w="8433" w:type="dxa"/>
        <w:tblInd w:w="15" w:type="dxa"/>
        <w:tblLayout w:type="fixed"/>
        <w:tblCellMar>
          <w:top w:w="0" w:type="dxa"/>
          <w:left w:w="0" w:type="dxa"/>
          <w:bottom w:w="0" w:type="dxa"/>
          <w:right w:w="0" w:type="dxa"/>
        </w:tblCellMar>
      </w:tblPr>
      <w:tblGrid>
        <w:gridCol w:w="408"/>
        <w:gridCol w:w="403"/>
        <w:gridCol w:w="797"/>
        <w:gridCol w:w="6825"/>
      </w:tblGrid>
      <w:tr>
        <w:tblPrEx>
          <w:tblLayout w:type="fixed"/>
          <w:tblCellMar>
            <w:top w:w="0" w:type="dxa"/>
            <w:left w:w="0" w:type="dxa"/>
            <w:bottom w:w="0" w:type="dxa"/>
            <w:right w:w="0" w:type="dxa"/>
          </w:tblCellMar>
        </w:tblPrEx>
        <w:trPr>
          <w:trHeight w:val="307" w:hRule="atLeast"/>
        </w:trPr>
        <w:tc>
          <w:tcPr>
            <w:tcW w:w="160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5"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40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方法分类</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分为固定式塔吊和运行式塔吊</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38" w:hRule="atLeast"/>
        </w:trPr>
        <w:tc>
          <w:tcPr>
            <w:tcW w:w="40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按旋转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方式分类</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分为上旋式和下旋式</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43" w:hRule="atLeast"/>
        </w:trPr>
        <w:tc>
          <w:tcPr>
            <w:tcW w:w="40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按变幅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方法分类</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分为动臂变幅和小车运行变幅</w:t>
            </w:r>
          </w:p>
        </w:tc>
      </w:tr>
      <w:tr>
        <w:tblPrEx>
          <w:tblLayout w:type="fixed"/>
          <w:tblCellMar>
            <w:top w:w="0" w:type="dxa"/>
            <w:left w:w="0" w:type="dxa"/>
            <w:bottom w:w="0" w:type="dxa"/>
            <w:right w:w="0" w:type="dxa"/>
          </w:tblCellMar>
        </w:tblPrEx>
        <w:trPr>
          <w:trHeight w:val="638" w:hRule="atLeast"/>
        </w:trPr>
        <w:tc>
          <w:tcPr>
            <w:tcW w:w="40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按起重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性能分类</w:t>
            </w: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分为轻型塔吊、中型塔吊和重型塔吊</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2078" w:hRule="atLeast"/>
        </w:trPr>
        <w:tc>
          <w:tcPr>
            <w:tcW w:w="40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塔式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工作机构和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行走机构。大车行走机构由底架、</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个支腿和</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个台车组成。轨道端头附近设行程限位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起升机构。起升卷扬机由两台</w:t>
            </w:r>
            <w:r>
              <w:rPr>
                <w:rFonts w:hint="eastAsia" w:ascii="微软雅黑" w:hAnsi="微软雅黑" w:eastAsia="微软雅黑" w:cs="微软雅黑"/>
                <w:color w:val="000000"/>
                <w:kern w:val="0"/>
                <w:sz w:val="18"/>
                <w:szCs w:val="18"/>
              </w:rPr>
              <w:t>45kW</w:t>
            </w:r>
            <w:r>
              <w:rPr>
                <w:rFonts w:hint="eastAsia" w:ascii="微软雅黑" w:hAnsi="微软雅黑" w:eastAsia="微软雅黑" w:cs="微软雅黑"/>
                <w:color w:val="000000"/>
                <w:kern w:val="0"/>
                <w:sz w:val="18"/>
                <w:szCs w:val="18"/>
              </w:rPr>
              <w:t>电机驱动，起升卷扬机上装有吊钩上升限位器。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变幅机构。起重臂根部和头部装有缓冲块和限位开关，以限定载重小车行程。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回转机构。它由两台</w:t>
            </w:r>
            <w:r>
              <w:rPr>
                <w:rFonts w:hint="eastAsia" w:ascii="微软雅黑" w:hAnsi="微软雅黑" w:eastAsia="微软雅黑" w:cs="微软雅黑"/>
                <w:color w:val="000000"/>
                <w:kern w:val="0"/>
                <w:sz w:val="18"/>
                <w:szCs w:val="18"/>
              </w:rPr>
              <w:t>5kW</w:t>
            </w:r>
            <w:r>
              <w:rPr>
                <w:rFonts w:hint="eastAsia" w:ascii="微软雅黑" w:hAnsi="微软雅黑" w:eastAsia="微软雅黑" w:cs="微软雅黑"/>
                <w:color w:val="000000"/>
                <w:kern w:val="0"/>
                <w:sz w:val="18"/>
                <w:szCs w:val="18"/>
              </w:rPr>
              <w:t>电机驱动。塔帽回转设有手动液压制动机构，防止起重臂定位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后因大风吹动臂杆，影响就位。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平衡重牵引。平衡重牵引是由</w:t>
            </w:r>
            <w:r>
              <w:rPr>
                <w:rFonts w:hint="eastAsia" w:ascii="微软雅黑" w:hAnsi="微软雅黑" w:eastAsia="微软雅黑" w:cs="微软雅黑"/>
                <w:color w:val="000000"/>
                <w:kern w:val="0"/>
                <w:sz w:val="18"/>
                <w:szCs w:val="18"/>
              </w:rPr>
              <w:t>3kw</w:t>
            </w:r>
            <w:r>
              <w:rPr>
                <w:rFonts w:hint="eastAsia" w:ascii="微软雅黑" w:hAnsi="微软雅黑" w:eastAsia="微软雅黑" w:cs="微软雅黑"/>
                <w:color w:val="000000"/>
                <w:kern w:val="0"/>
                <w:sz w:val="18"/>
                <w:szCs w:val="18"/>
              </w:rPr>
              <w:t>电机驱动，平衡臂的两端设有缓冲块和限位开关。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顶升液压系统</w:t>
            </w:r>
          </w:p>
        </w:tc>
      </w:tr>
      <w:tr>
        <w:tblPrEx>
          <w:tblLayout w:type="fixed"/>
          <w:tblCellMar>
            <w:top w:w="0" w:type="dxa"/>
            <w:left w:w="0" w:type="dxa"/>
            <w:bottom w:w="0" w:type="dxa"/>
            <w:right w:w="0" w:type="dxa"/>
          </w:tblCellMar>
        </w:tblPrEx>
        <w:trPr>
          <w:trHeight w:val="2236" w:hRule="atLeast"/>
        </w:trPr>
        <w:tc>
          <w:tcPr>
            <w:tcW w:w="40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安全操作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注意事项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塔吊司机和信号人员，必须经专门培训持证上岗。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实行专人专机管理。机长负责制，严格交接班制度。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新安装的或经大修后的塔吊，必须按说明书要求进行整机试运转。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塔吊距架空输电线路应保持安全距离。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司机室内应配备适用的灭火器材。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提升重物前，要确认重物的真实质量，要做到不超过规定的荷载，不得超载作业。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两台塔吊在同一条轨道作业时，应保持安全距离。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轨道行走的塔式起重机，处于</w:t>
            </w:r>
            <w:r>
              <w:rPr>
                <w:rFonts w:hint="eastAsia" w:ascii="微软雅黑" w:hAnsi="微软雅黑" w:eastAsia="微软雅黑" w:cs="微软雅黑"/>
                <w:color w:val="000000"/>
                <w:kern w:val="0"/>
                <w:sz w:val="18"/>
                <w:szCs w:val="18"/>
              </w:rPr>
              <w:t>90</w:t>
            </w:r>
            <w:r>
              <w:rPr>
                <w:rFonts w:hint="eastAsia" w:ascii="微软雅黑" w:hAnsi="微软雅黑" w:eastAsia="微软雅黑" w:cs="微软雅黑"/>
                <w:color w:val="000000"/>
                <w:kern w:val="0"/>
                <w:sz w:val="18"/>
                <w:szCs w:val="18"/>
              </w:rPr>
              <w:t>。弯道上，禁止起吊重物。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操作中遇大风</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六级以上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等恶劣气候，应停止作业，将吊钩升起，夹好轨钳</w:t>
            </w:r>
          </w:p>
        </w:tc>
      </w:tr>
      <w:tr>
        <w:tblPrEx>
          <w:tblLayout w:type="fixed"/>
          <w:tblCellMar>
            <w:top w:w="0" w:type="dxa"/>
            <w:left w:w="0" w:type="dxa"/>
            <w:bottom w:w="0" w:type="dxa"/>
            <w:right w:w="0" w:type="dxa"/>
          </w:tblCellMar>
        </w:tblPrEx>
        <w:trPr>
          <w:trHeight w:val="2884" w:hRule="atLeast"/>
        </w:trPr>
        <w:tc>
          <w:tcPr>
            <w:tcW w:w="40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龙门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架</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w:t>
            </w:r>
          </w:p>
        </w:tc>
        <w:tc>
          <w:tcPr>
            <w:tcW w:w="120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安全防护装置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停靠装置。吊篮到位停靠后，当工人进人吊篮内作业时，由于卷扬机抱闸失灵或钢丝绳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突然断裂，吊篮不会坠落以保人员安全。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断绳保护装置。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吊篮安全门。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楼层口停靠栏杆。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上料口防护棚。升降机地面进料口搭设的防护棚。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超高限位装置。防止吊篮失控上升与天梁碰撞的装置。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下极限限位装置。主要用于高架升降机，为防止吊笼下行时不停机，压迫缓冲装置造成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超载限位器。为防止装料过多而设置。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通信装置</w:t>
            </w:r>
          </w:p>
        </w:tc>
      </w:tr>
      <w:tr>
        <w:tblPrEx>
          <w:tblLayout w:type="fixed"/>
          <w:tblCellMar>
            <w:top w:w="0" w:type="dxa"/>
            <w:left w:w="0" w:type="dxa"/>
            <w:bottom w:w="0" w:type="dxa"/>
            <w:right w:w="0" w:type="dxa"/>
          </w:tblCellMar>
        </w:tblPrEx>
        <w:trPr>
          <w:trHeight w:val="792" w:hRule="atLeast"/>
        </w:trPr>
        <w:tc>
          <w:tcPr>
            <w:tcW w:w="40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安装与拆除</w:t>
            </w:r>
          </w:p>
          <w:p>
            <w:pPr>
              <w:autoSpaceDE w:val="0"/>
              <w:autoSpaceDN w:val="0"/>
              <w:rPr>
                <w:rFonts w:hint="eastAsia" w:ascii="微软雅黑" w:hAnsi="微软雅黑" w:eastAsia="微软雅黑" w:cs="微软雅黑"/>
                <w:color w:val="000000"/>
                <w:kern w:val="0"/>
                <w:sz w:val="18"/>
                <w:szCs w:val="18"/>
              </w:rPr>
            </w:pPr>
          </w:p>
        </w:tc>
        <w:tc>
          <w:tcPr>
            <w:tcW w:w="6825"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升降机应有专职机构和专职人员管理。司机应经专业培训，持证上岗。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组装后应进行验收，并进行空载、动载和超载试验。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严禁载人升降和禁止攀登架体及从架体下面穿越</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脚手架工程(表8—9)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表8-9脚手架工程</w:t>
      </w:r>
    </w:p>
    <w:tbl>
      <w:tblPr>
        <w:tblStyle w:val="4"/>
        <w:tblW w:w="8462" w:type="dxa"/>
        <w:tblInd w:w="15" w:type="dxa"/>
        <w:tblLayout w:type="fixed"/>
        <w:tblCellMar>
          <w:top w:w="0" w:type="dxa"/>
          <w:left w:w="0" w:type="dxa"/>
          <w:bottom w:w="0" w:type="dxa"/>
          <w:right w:w="0" w:type="dxa"/>
        </w:tblCellMar>
      </w:tblPr>
      <w:tblGrid>
        <w:gridCol w:w="446"/>
        <w:gridCol w:w="403"/>
        <w:gridCol w:w="730"/>
        <w:gridCol w:w="67"/>
        <w:gridCol w:w="6754"/>
        <w:gridCol w:w="62"/>
      </w:tblGrid>
      <w:tr>
        <w:tblPrEx>
          <w:tblLayout w:type="fixed"/>
          <w:tblCellMar>
            <w:top w:w="0" w:type="dxa"/>
            <w:left w:w="0" w:type="dxa"/>
            <w:bottom w:w="0" w:type="dxa"/>
            <w:right w:w="0" w:type="dxa"/>
          </w:tblCellMar>
        </w:tblPrEx>
        <w:trPr>
          <w:trHeight w:val="297" w:hRule="atLeast"/>
        </w:trPr>
        <w:tc>
          <w:tcPr>
            <w:tcW w:w="1646"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6"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52" w:hRule="atLeast"/>
        </w:trPr>
        <w:tc>
          <w:tcPr>
            <w:tcW w:w="446"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永久荷载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恒荷</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和可变荷载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活载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永久荷载分项系数取</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，可变荷载分项系数取</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w:t>
            </w:r>
          </w:p>
        </w:tc>
      </w:tr>
      <w:tr>
        <w:tblPrEx>
          <w:tblLayout w:type="fixed"/>
          <w:tblCellMar>
            <w:top w:w="0" w:type="dxa"/>
            <w:left w:w="0" w:type="dxa"/>
            <w:bottom w:w="0" w:type="dxa"/>
            <w:right w:w="0" w:type="dxa"/>
          </w:tblCellMar>
        </w:tblPrEx>
        <w:trPr>
          <w:trHeight w:val="1440" w:hRule="atLeast"/>
        </w:trPr>
        <w:tc>
          <w:tcPr>
            <w:tcW w:w="446"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永久荷载。永久荷载标准值按每米立杆承受的结构自重标准值，冲压钢脚手板、木脚手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板与竹串片脚手板自重标准值，栏杆与挡脚板自重标准值．脚手架上吊挂的安全设施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网、竹笆等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的荷载应根据实际情况采用。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施工荷载。根据脚手架的不同用途，确定装修、结构两种施丁均布荷载。装修脚手架为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2kN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m2</w:t>
            </w:r>
            <w:r>
              <w:rPr>
                <w:rFonts w:hint="eastAsia" w:ascii="微软雅黑" w:hAnsi="微软雅黑" w:eastAsia="微软雅黑" w:cs="微软雅黑"/>
                <w:color w:val="000000"/>
                <w:kern w:val="0"/>
                <w:sz w:val="18"/>
                <w:szCs w:val="18"/>
              </w:rPr>
              <w:t>，结构施工脚手架为</w:t>
            </w:r>
            <w:r>
              <w:rPr>
                <w:rFonts w:hint="eastAsia" w:ascii="微软雅黑" w:hAnsi="微软雅黑" w:eastAsia="微软雅黑" w:cs="微软雅黑"/>
                <w:color w:val="000000"/>
                <w:kern w:val="0"/>
                <w:sz w:val="18"/>
                <w:szCs w:val="18"/>
              </w:rPr>
              <w:t>3kN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m2</w:t>
            </w:r>
          </w:p>
        </w:tc>
      </w:tr>
      <w:tr>
        <w:tblPrEx>
          <w:tblLayout w:type="fixed"/>
          <w:tblCellMar>
            <w:top w:w="0" w:type="dxa"/>
            <w:left w:w="0" w:type="dxa"/>
            <w:bottom w:w="0" w:type="dxa"/>
            <w:right w:w="0" w:type="dxa"/>
          </w:tblCellMar>
        </w:tblPrEx>
        <w:trPr>
          <w:trHeight w:val="1910" w:hRule="atLeast"/>
        </w:trPr>
        <w:tc>
          <w:tcPr>
            <w:tcW w:w="446"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扣件</w:t>
            </w:r>
          </w:p>
        </w:tc>
        <w:tc>
          <w:tcPr>
            <w:tcW w:w="403"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荷载</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荷载组合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设计脚手架的承重构件时，应根据使用过程中可能出现的荷载取其最不利组合进行计算。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扣件式钢管脚手架的荷载传递路线。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组成扣件式钢管脚手架的杆件受力分析。立杆是传递全部竖向和水平荷载的最重要构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件，当组合风荷载时则为压弯构件。大、小横杆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纵向、横向水平杆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是受弯构件。纵向或横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向水平杆是靠扣件连接将施工荷载、脚手板自重传给立杆的，当连墙件采用扣件连接时。要靠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扣件连接将脚手架的水平力由立杆传递到建筑物上。扣件连接是以扣件与钢管之间的摩擦力传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递竖向力或水平力的，因此规范规定要对扣件进行抗滑计算</w:t>
            </w:r>
          </w:p>
        </w:tc>
      </w:tr>
      <w:tr>
        <w:tblPrEx>
          <w:tblLayout w:type="fixed"/>
          <w:tblCellMar>
            <w:top w:w="0" w:type="dxa"/>
            <w:left w:w="0" w:type="dxa"/>
            <w:bottom w:w="0" w:type="dxa"/>
            <w:right w:w="0" w:type="dxa"/>
          </w:tblCellMar>
        </w:tblPrEx>
        <w:trPr>
          <w:trHeight w:val="801" w:hRule="atLeast"/>
        </w:trPr>
        <w:tc>
          <w:tcPr>
            <w:tcW w:w="446"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的设</w:t>
            </w:r>
          </w:p>
        </w:tc>
        <w:tc>
          <w:tcPr>
            <w:tcW w:w="403" w:type="dxa"/>
            <w:vMerge w:val="continue"/>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基本构造</w:t>
            </w: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扣件式钢管脚手架由钢管和扣件组成．它的基本构造形式与术脚手架基本相同，有单排架和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双排架两种。在立杆、大横杆、小横杆三杆的交叉点称为主节点。主节点处立杆和大横杆的连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接扣件与大横杆与小横杆的连接扣件的间距应小于</w:t>
            </w:r>
            <w:r>
              <w:rPr>
                <w:rFonts w:hint="eastAsia" w:ascii="微软雅黑" w:hAnsi="微软雅黑" w:eastAsia="微软雅黑" w:cs="微软雅黑"/>
                <w:color w:val="000000"/>
                <w:kern w:val="0"/>
                <w:sz w:val="18"/>
                <w:szCs w:val="18"/>
              </w:rPr>
              <w:t>15cm</w:t>
            </w:r>
          </w:p>
        </w:tc>
      </w:tr>
      <w:tr>
        <w:tblPrEx>
          <w:tblLayout w:type="fixed"/>
          <w:tblCellMar>
            <w:top w:w="0" w:type="dxa"/>
            <w:left w:w="0" w:type="dxa"/>
            <w:bottom w:w="0" w:type="dxa"/>
            <w:right w:w="0" w:type="dxa"/>
          </w:tblCellMar>
        </w:tblPrEx>
        <w:trPr>
          <w:trHeight w:val="2083" w:hRule="atLeast"/>
        </w:trPr>
        <w:tc>
          <w:tcPr>
            <w:tcW w:w="446"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403"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大横杆、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小横杆、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大横杆。大横杆可用于设置在立杆内侧．其长度不能小于</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跨．大于和等于</w:t>
            </w:r>
            <w:r>
              <w:rPr>
                <w:rFonts w:hint="eastAsia" w:ascii="微软雅黑" w:hAnsi="微软雅黑" w:eastAsia="微软雅黑" w:cs="微软雅黑"/>
                <w:color w:val="000000"/>
                <w:kern w:val="0"/>
                <w:sz w:val="18"/>
                <w:szCs w:val="18"/>
              </w:rPr>
              <w:t>6m</w:t>
            </w:r>
            <w:r>
              <w:rPr>
                <w:rFonts w:hint="eastAsia" w:ascii="微软雅黑" w:hAnsi="微软雅黑" w:eastAsia="微软雅黑" w:cs="微软雅黑"/>
                <w:color w:val="000000"/>
                <w:kern w:val="0"/>
                <w:sz w:val="18"/>
                <w:szCs w:val="18"/>
              </w:rPr>
              <w:t>长；大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横杆用对接扣件接长，也可采用搭接。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小横杆。小横杆的构造应符合下列规定：主节点处必须设置一根小横杆，用直角扣件扣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接且严禁拆除；作业层上非主节点处的小横杆，宜根据支承脚手架的需要等间距设置，最大间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距不应大于纵距的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脚手板。当使用冲压钢脚手板、木脚手板、竹串片脚手板时，双排脚手架的横向水平杆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两端均采用直角扣件固定在大横杆上；单排脚手架的小横杆的一端。应用直角扣件固定在大横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杆上，另一端应插入墙内．插入长度不应小于</w:t>
            </w:r>
            <w:r>
              <w:rPr>
                <w:rFonts w:hint="eastAsia" w:ascii="微软雅黑" w:hAnsi="微软雅黑" w:eastAsia="微软雅黑" w:cs="微软雅黑"/>
                <w:color w:val="000000"/>
                <w:kern w:val="0"/>
                <w:sz w:val="18"/>
                <w:szCs w:val="18"/>
              </w:rPr>
              <w:t>180mm</w:t>
            </w:r>
          </w:p>
        </w:tc>
      </w:tr>
      <w:tr>
        <w:tblPrEx>
          <w:tblLayout w:type="fixed"/>
          <w:tblCellMar>
            <w:top w:w="0" w:type="dxa"/>
            <w:left w:w="0" w:type="dxa"/>
            <w:bottom w:w="0" w:type="dxa"/>
            <w:right w:w="0" w:type="dxa"/>
          </w:tblCellMar>
        </w:tblPrEx>
        <w:trPr>
          <w:trHeight w:val="1910" w:hRule="atLeast"/>
        </w:trPr>
        <w:tc>
          <w:tcPr>
            <w:tcW w:w="446"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扣件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立杆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6"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脚手架必须设置纵、横向扫地杆。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脚手架底层步距不应大于</w:t>
            </w:r>
            <w:r>
              <w:rPr>
                <w:rFonts w:hint="eastAsia" w:ascii="微软雅黑" w:hAnsi="微软雅黑" w:eastAsia="微软雅黑" w:cs="微软雅黑"/>
                <w:color w:val="000000"/>
                <w:kern w:val="0"/>
                <w:sz w:val="18"/>
                <w:szCs w:val="18"/>
              </w:rPr>
              <w:t>2rn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立杆必须用连墙件与建筑物可靠连接。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立杆接长除顶层顶部可采用搭接外，其余各层必须采用对接扣件连接。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立杆上的搭接扣件应交错布置。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搭接长度不应小于</w:t>
            </w:r>
            <w:r>
              <w:rPr>
                <w:rFonts w:hint="eastAsia" w:ascii="微软雅黑" w:hAnsi="微软雅黑" w:eastAsia="微软雅黑" w:cs="微软雅黑"/>
                <w:color w:val="000000"/>
                <w:kern w:val="0"/>
                <w:sz w:val="18"/>
                <w:szCs w:val="18"/>
              </w:rPr>
              <w:t>1m</w:t>
            </w:r>
            <w:r>
              <w:rPr>
                <w:rFonts w:hint="eastAsia" w:ascii="微软雅黑" w:hAnsi="微软雅黑" w:eastAsia="微软雅黑" w:cs="微软雅黑"/>
                <w:color w:val="000000"/>
                <w:kern w:val="0"/>
                <w:sz w:val="18"/>
                <w:szCs w:val="18"/>
              </w:rPr>
              <w:t>，应采用不小于两个旋转扣件同定．端部扣件盖板的边缘至杆端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距离不应小于</w:t>
            </w:r>
            <w:r>
              <w:rPr>
                <w:rFonts w:hint="eastAsia" w:ascii="微软雅黑" w:hAnsi="微软雅黑" w:eastAsia="微软雅黑" w:cs="微软雅黑"/>
                <w:color w:val="000000"/>
                <w:kern w:val="0"/>
                <w:sz w:val="18"/>
                <w:szCs w:val="18"/>
              </w:rPr>
              <w:t>100mm</w:t>
            </w:r>
          </w:p>
        </w:tc>
      </w:tr>
      <w:tr>
        <w:tblPrEx>
          <w:tblLayout w:type="fixed"/>
          <w:tblCellMar>
            <w:top w:w="0" w:type="dxa"/>
            <w:left w:w="0" w:type="dxa"/>
            <w:bottom w:w="0" w:type="dxa"/>
            <w:right w:w="0" w:type="dxa"/>
          </w:tblCellMar>
        </w:tblPrEx>
        <w:trPr>
          <w:gridAfter w:val="1"/>
          <w:wAfter w:w="62" w:type="dxa"/>
          <w:trHeight w:val="307"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62" w:type="dxa"/>
          <w:trHeight w:val="1334" w:hRule="atLeast"/>
        </w:trPr>
        <w:tc>
          <w:tcPr>
            <w:tcW w:w="1579"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脚手架的使用与管理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设置供操作人员上下使用的安全扶梯、爬梯或斜道。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搭设完毕后应进行检查验收，经检查合格后才准使用。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在脚手架上同时进行多层作业的情况下，各作业层之间应设置可靠的防护棚，以防止上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层坠物伤及下层作业人员。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维修、加固</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高处作业工程(表8—10)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表8—10高处作业工程</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9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临边作业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临边作业的防护主要为设置防护栏杆，并有其他防护措施。设置防护栏杆为临边防护所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采用的主要方式。栏杆应由上、下两道横杆及栏杆柱构成。横杆离地高度，规定为上杆</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o</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1.2m</w:t>
            </w:r>
            <w:r>
              <w:rPr>
                <w:rFonts w:hint="eastAsia" w:ascii="微软雅黑" w:hAnsi="微软雅黑" w:eastAsia="微软雅黑" w:cs="微软雅黑"/>
                <w:color w:val="000000"/>
                <w:kern w:val="0"/>
                <w:sz w:val="18"/>
                <w:szCs w:val="18"/>
              </w:rPr>
              <w:t>，下杆</w:t>
            </w:r>
            <w:r>
              <w:rPr>
                <w:rFonts w:hint="eastAsia" w:ascii="微软雅黑" w:hAnsi="微软雅黑" w:eastAsia="微软雅黑" w:cs="微软雅黑"/>
                <w:color w:val="000000"/>
                <w:kern w:val="0"/>
                <w:sz w:val="18"/>
                <w:szCs w:val="18"/>
              </w:rPr>
              <w:t>0.5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0.6m</w:t>
            </w:r>
            <w:r>
              <w:rPr>
                <w:rFonts w:hint="eastAsia" w:ascii="微软雅黑" w:hAnsi="微软雅黑" w:eastAsia="微软雅黑" w:cs="微软雅黑"/>
                <w:color w:val="000000"/>
                <w:kern w:val="0"/>
                <w:sz w:val="18"/>
                <w:szCs w:val="18"/>
              </w:rPr>
              <w:t>．即位于中间。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防护栏杆的受力性能和力学计算。防护栏杆的整体构造，应使栏杆上杆能承受来自任何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方向的</w:t>
            </w:r>
            <w:r>
              <w:rPr>
                <w:rFonts w:hint="eastAsia" w:ascii="微软雅黑" w:hAnsi="微软雅黑" w:eastAsia="微软雅黑" w:cs="微软雅黑"/>
                <w:color w:val="000000"/>
                <w:kern w:val="0"/>
                <w:sz w:val="18"/>
                <w:szCs w:val="18"/>
              </w:rPr>
              <w:t>1000N</w:t>
            </w:r>
            <w:r>
              <w:rPr>
                <w:rFonts w:hint="eastAsia" w:ascii="微软雅黑" w:hAnsi="微软雅黑" w:eastAsia="微软雅黑" w:cs="微软雅黑"/>
                <w:color w:val="000000"/>
                <w:kern w:val="0"/>
                <w:sz w:val="18"/>
                <w:szCs w:val="18"/>
              </w:rPr>
              <w:t>的外力。通常，可从简按容许应力法计算其弯矩、受弯正应力；需要控制变形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时，计算挠度。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用绿色密目式安全网全封闭。在建工程的外侧周边，如无外脚手架应用密目式安全网全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封闭。如有外脚手架在脚手架的外侧也要用密目式安全网全封闭。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装设安全防护门</w:t>
            </w:r>
          </w:p>
        </w:tc>
      </w:tr>
      <w:tr>
        <w:tblPrEx>
          <w:tblLayout w:type="fixed"/>
          <w:tblCellMar>
            <w:top w:w="0" w:type="dxa"/>
            <w:left w:w="0" w:type="dxa"/>
            <w:bottom w:w="0" w:type="dxa"/>
            <w:right w:w="0" w:type="dxa"/>
          </w:tblCellMar>
        </w:tblPrEx>
        <w:trPr>
          <w:trHeight w:val="69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洞口作业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各种板与墙的孔口和洞口，各种预留洞口，桩孔上口，杯形、条形基础上口，电梯井口必须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视具体情况分别设置牢固的盖板、防护栏杆、密目式安全网或其他防护坠落的设施</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悬空作业的安全防护</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悬空作业尚无立足点，必须适当地建立牢靠的立足点，方可进行施工</w:t>
            </w:r>
          </w:p>
        </w:tc>
      </w:tr>
      <w:tr>
        <w:tblPrEx>
          <w:tblLayout w:type="fixed"/>
          <w:tblCellMar>
            <w:top w:w="0" w:type="dxa"/>
            <w:left w:w="0" w:type="dxa"/>
            <w:bottom w:w="0" w:type="dxa"/>
            <w:right w:w="0" w:type="dxa"/>
          </w:tblCellMar>
        </w:tblPrEx>
        <w:trPr>
          <w:trHeight w:val="68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交叉作业的安全防护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进行交叉作业时，不得在同一垂直方向上同时操作，下层作业的位置，必须处于依上层高度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确定的可能坠落范围半径之外。不符合此条件，中间应设置安全防护层</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施工现场临时用电工程(表8一11)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表8一11施工现场临时用电工程</w:t>
      </w:r>
    </w:p>
    <w:tbl>
      <w:tblPr>
        <w:tblStyle w:val="4"/>
        <w:tblW w:w="8467" w:type="dxa"/>
        <w:tblInd w:w="15" w:type="dxa"/>
        <w:tblLayout w:type="fixed"/>
        <w:tblCellMar>
          <w:top w:w="0" w:type="dxa"/>
          <w:left w:w="0" w:type="dxa"/>
          <w:bottom w:w="0" w:type="dxa"/>
          <w:right w:w="0" w:type="dxa"/>
        </w:tblCellMar>
      </w:tblPr>
      <w:tblGrid>
        <w:gridCol w:w="379"/>
        <w:gridCol w:w="67"/>
        <w:gridCol w:w="336"/>
        <w:gridCol w:w="58"/>
        <w:gridCol w:w="739"/>
        <w:gridCol w:w="57"/>
        <w:gridCol w:w="6773"/>
        <w:gridCol w:w="58"/>
      </w:tblGrid>
      <w:tr>
        <w:tblPrEx>
          <w:tblLayout w:type="fixed"/>
          <w:tblCellMar>
            <w:top w:w="0" w:type="dxa"/>
            <w:left w:w="0" w:type="dxa"/>
            <w:bottom w:w="0" w:type="dxa"/>
            <w:right w:w="0" w:type="dxa"/>
          </w:tblCellMar>
        </w:tblPrEx>
        <w:trPr>
          <w:trHeight w:val="302" w:hRule="atLeast"/>
        </w:trPr>
        <w:tc>
          <w:tcPr>
            <w:tcW w:w="1636" w:type="dxa"/>
            <w:gridSpan w:val="6"/>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95" w:hRule="atLeast"/>
        </w:trPr>
        <w:tc>
          <w:tcPr>
            <w:tcW w:w="1636" w:type="dxa"/>
            <w:gridSpan w:val="6"/>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施工现场临时用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电的组织设计</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临时用电设备在</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台及</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台以上或设备总容量在</w:t>
            </w:r>
            <w:r>
              <w:rPr>
                <w:rFonts w:hint="eastAsia" w:ascii="微软雅黑" w:hAnsi="微软雅黑" w:eastAsia="微软雅黑" w:cs="微软雅黑"/>
                <w:color w:val="000000"/>
                <w:kern w:val="0"/>
                <w:sz w:val="18"/>
                <w:szCs w:val="18"/>
              </w:rPr>
              <w:t>50kW</w:t>
            </w:r>
            <w:r>
              <w:rPr>
                <w:rFonts w:hint="eastAsia" w:ascii="微软雅黑" w:hAnsi="微软雅黑" w:eastAsia="微软雅黑" w:cs="微软雅黑"/>
                <w:color w:val="000000"/>
                <w:kern w:val="0"/>
                <w:sz w:val="18"/>
                <w:szCs w:val="18"/>
              </w:rPr>
              <w:t>及</w:t>
            </w:r>
            <w:r>
              <w:rPr>
                <w:rFonts w:hint="eastAsia" w:ascii="微软雅黑" w:hAnsi="微软雅黑" w:eastAsia="微软雅黑" w:cs="微软雅黑"/>
                <w:color w:val="000000"/>
                <w:kern w:val="0"/>
                <w:sz w:val="18"/>
                <w:szCs w:val="18"/>
              </w:rPr>
              <w:t>50kW</w:t>
            </w:r>
            <w:r>
              <w:rPr>
                <w:rFonts w:hint="eastAsia" w:ascii="微软雅黑" w:hAnsi="微软雅黑" w:eastAsia="微软雅黑" w:cs="微软雅黑"/>
                <w:color w:val="000000"/>
                <w:kern w:val="0"/>
                <w:sz w:val="18"/>
                <w:szCs w:val="18"/>
              </w:rPr>
              <w:t>以上者，应编制临时用电施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工组织设计</w:t>
            </w:r>
          </w:p>
        </w:tc>
      </w:tr>
      <w:tr>
        <w:tblPrEx>
          <w:tblLayout w:type="fixed"/>
          <w:tblCellMar>
            <w:top w:w="0" w:type="dxa"/>
            <w:left w:w="0" w:type="dxa"/>
            <w:bottom w:w="0" w:type="dxa"/>
            <w:right w:w="0" w:type="dxa"/>
          </w:tblCellMar>
        </w:tblPrEx>
        <w:trPr>
          <w:trHeight w:val="600" w:hRule="atLeast"/>
        </w:trPr>
        <w:tc>
          <w:tcPr>
            <w:tcW w:w="1636" w:type="dxa"/>
            <w:gridSpan w:val="6"/>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施工现场临时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用电的接地</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在电气工程上，接地主要有</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种基本类别：工作接地、保护接地、重复接地、防雷接地</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2112" w:hRule="atLeast"/>
        </w:trPr>
        <w:tc>
          <w:tcPr>
            <w:tcW w:w="1636" w:type="dxa"/>
            <w:gridSpan w:val="6"/>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施工现场的配电室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及自备电源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通常配电室的选择应根据现场负荷的类型、大小和分布特点、环境特征等进行全面考虑；配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电室应尽量靠近负荷中心，以减少配电线路的长度和减小导线截面，提高配电质量，同时还能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使配电线路清晰，便于维护；配电室内的配电屏是经常带电的配电装置，为了保障其运行安全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和检查、维修安全．这些装置之间以及这些装置与配电室棚顶、墙壁、地面之间必须保持电气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安全距离；配电室建筑物的耐火等级应不低于三级，室内不得存放易燃、易爆物品，并应配备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砂箱、</w:t>
            </w:r>
            <w:r>
              <w:rPr>
                <w:rFonts w:hint="eastAsia" w:ascii="微软雅黑" w:hAnsi="微软雅黑" w:eastAsia="微软雅黑" w:cs="微软雅黑"/>
                <w:color w:val="000000"/>
                <w:kern w:val="0"/>
                <w:sz w:val="18"/>
                <w:szCs w:val="18"/>
              </w:rPr>
              <w:t>1211</w:t>
            </w:r>
            <w:r>
              <w:rPr>
                <w:rFonts w:hint="eastAsia" w:ascii="微软雅黑" w:hAnsi="微软雅黑" w:eastAsia="微软雅黑" w:cs="微软雅黑"/>
                <w:color w:val="000000"/>
                <w:kern w:val="0"/>
                <w:sz w:val="18"/>
                <w:szCs w:val="18"/>
              </w:rPr>
              <w:t>灭火器等绝缘灭火器材。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为了保证施工不因停电而中断，有的施工现场备有发电机组，作为外电线路停止供电时的接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续供电电源</w:t>
            </w:r>
          </w:p>
        </w:tc>
      </w:tr>
      <w:tr>
        <w:tblPrEx>
          <w:tblLayout w:type="fixed"/>
          <w:tblCellMar>
            <w:top w:w="0" w:type="dxa"/>
            <w:left w:w="0" w:type="dxa"/>
            <w:bottom w:w="0" w:type="dxa"/>
            <w:right w:w="0" w:type="dxa"/>
          </w:tblCellMar>
        </w:tblPrEx>
        <w:trPr>
          <w:trHeight w:val="648" w:hRule="atLeast"/>
        </w:trPr>
        <w:tc>
          <w:tcPr>
            <w:tcW w:w="446" w:type="dxa"/>
            <w:gridSpan w:val="2"/>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架空</w:t>
            </w: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导线种类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的选择</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按照施工现场对架空线路敷设的要求，架空线必须采用绝缘导线或者为绝缘铜线，或者为绝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缘铝线，但一般应优先选择绝缘铜线</w:t>
            </w:r>
          </w:p>
        </w:tc>
      </w:tr>
      <w:tr>
        <w:tblPrEx>
          <w:tblLayout w:type="fixed"/>
          <w:tblCellMar>
            <w:top w:w="0" w:type="dxa"/>
            <w:left w:w="0" w:type="dxa"/>
            <w:bottom w:w="0" w:type="dxa"/>
            <w:right w:w="0" w:type="dxa"/>
          </w:tblCellMar>
        </w:tblPrEx>
        <w:trPr>
          <w:trHeight w:val="643" w:hRule="atLeast"/>
        </w:trPr>
        <w:tc>
          <w:tcPr>
            <w:tcW w:w="446" w:type="dxa"/>
            <w:gridSpan w:val="2"/>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394"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选择</w:t>
            </w:r>
          </w:p>
          <w:p>
            <w:pPr>
              <w:autoSpaceDE w:val="0"/>
              <w:autoSpaceDN w:val="0"/>
              <w:rPr>
                <w:rFonts w:hint="eastAsia" w:ascii="微软雅黑" w:hAnsi="微软雅黑" w:eastAsia="微软雅黑" w:cs="微软雅黑"/>
                <w:color w:val="000000"/>
                <w:kern w:val="0"/>
                <w:sz w:val="18"/>
                <w:szCs w:val="18"/>
              </w:rPr>
            </w:pPr>
          </w:p>
        </w:tc>
        <w:tc>
          <w:tcPr>
            <w:tcW w:w="79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导线截面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的选择</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导线截面的选择主要是依据负荷计算结果，按其允许温升初选导线截面，然后按线路电压偏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移和机械强度校验，最后确定导线截面</w:t>
            </w:r>
          </w:p>
        </w:tc>
      </w:tr>
      <w:tr>
        <w:tblPrEx>
          <w:tblLayout w:type="fixed"/>
          <w:tblCellMar>
            <w:top w:w="0" w:type="dxa"/>
            <w:left w:w="0" w:type="dxa"/>
            <w:bottom w:w="0" w:type="dxa"/>
            <w:right w:w="0" w:type="dxa"/>
          </w:tblCellMar>
        </w:tblPrEx>
        <w:trPr>
          <w:trHeight w:val="3033" w:hRule="atLeast"/>
        </w:trPr>
        <w:tc>
          <w:tcPr>
            <w:tcW w:w="446" w:type="dxa"/>
            <w:gridSpan w:val="2"/>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90" w:type="dxa"/>
            <w:gridSpan w:val="4"/>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架空线路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架空线必须采用绝缘导线。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架空线的挡距与弧垂：挡距不得大于</w:t>
            </w:r>
            <w:r>
              <w:rPr>
                <w:rFonts w:hint="eastAsia" w:ascii="微软雅黑" w:hAnsi="微软雅黑" w:eastAsia="微软雅黑" w:cs="微软雅黑"/>
                <w:color w:val="000000"/>
                <w:kern w:val="0"/>
                <w:sz w:val="18"/>
                <w:szCs w:val="18"/>
              </w:rPr>
              <w:t>35m</w:t>
            </w:r>
            <w:r>
              <w:rPr>
                <w:rFonts w:hint="eastAsia" w:ascii="微软雅黑" w:hAnsi="微软雅黑" w:eastAsia="微软雅黑" w:cs="微软雅黑"/>
                <w:color w:val="000000"/>
                <w:kern w:val="0"/>
                <w:sz w:val="18"/>
                <w:szCs w:val="18"/>
              </w:rPr>
              <w:t>，线间距不得小于</w:t>
            </w:r>
            <w:r>
              <w:rPr>
                <w:rFonts w:hint="eastAsia" w:ascii="微软雅黑" w:hAnsi="微软雅黑" w:eastAsia="微软雅黑" w:cs="微软雅黑"/>
                <w:color w:val="000000"/>
                <w:kern w:val="0"/>
                <w:sz w:val="18"/>
                <w:szCs w:val="18"/>
              </w:rPr>
              <w:t>30mm</w:t>
            </w:r>
            <w:r>
              <w:rPr>
                <w:rFonts w:hint="eastAsia" w:ascii="微软雅黑" w:hAnsi="微软雅黑" w:eastAsia="微软雅黑" w:cs="微软雅黑"/>
                <w:color w:val="000000"/>
                <w:kern w:val="0"/>
                <w:sz w:val="18"/>
                <w:szCs w:val="18"/>
              </w:rPr>
              <w:t>。架空线的最大弧垂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处与地面的最小垂直距离：施工现场一般场所</w:t>
            </w:r>
            <w:r>
              <w:rPr>
                <w:rFonts w:hint="eastAsia" w:ascii="微软雅黑" w:hAnsi="微软雅黑" w:eastAsia="微软雅黑" w:cs="微软雅黑"/>
                <w:color w:val="000000"/>
                <w:kern w:val="0"/>
                <w:sz w:val="18"/>
                <w:szCs w:val="18"/>
              </w:rPr>
              <w:t>4m</w:t>
            </w:r>
            <w:r>
              <w:rPr>
                <w:rFonts w:hint="eastAsia" w:ascii="微软雅黑" w:hAnsi="微软雅黑" w:eastAsia="微软雅黑" w:cs="微软雅黑"/>
                <w:color w:val="000000"/>
                <w:kern w:val="0"/>
                <w:sz w:val="18"/>
                <w:szCs w:val="18"/>
              </w:rPr>
              <w:t>、机动车道</w:t>
            </w:r>
            <w:r>
              <w:rPr>
                <w:rFonts w:hint="eastAsia" w:ascii="微软雅黑" w:hAnsi="微软雅黑" w:eastAsia="微软雅黑" w:cs="微软雅黑"/>
                <w:color w:val="000000"/>
                <w:kern w:val="0"/>
                <w:sz w:val="18"/>
                <w:szCs w:val="18"/>
              </w:rPr>
              <w:t>6m</w:t>
            </w:r>
            <w:r>
              <w:rPr>
                <w:rFonts w:hint="eastAsia" w:ascii="微软雅黑" w:hAnsi="微软雅黑" w:eastAsia="微软雅黑" w:cs="微软雅黑"/>
                <w:color w:val="000000"/>
                <w:kern w:val="0"/>
                <w:sz w:val="18"/>
                <w:szCs w:val="18"/>
              </w:rPr>
              <w:t>、铁路轨道</w:t>
            </w:r>
            <w:r>
              <w:rPr>
                <w:rFonts w:hint="eastAsia" w:ascii="微软雅黑" w:hAnsi="微软雅黑" w:eastAsia="微软雅黑" w:cs="微软雅黑"/>
                <w:color w:val="000000"/>
                <w:kern w:val="0"/>
                <w:sz w:val="18"/>
                <w:szCs w:val="18"/>
              </w:rPr>
              <w:t>7.5m</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架空导线的最小截面：铝绞线截面不得小于</w:t>
            </w:r>
            <w:r>
              <w:rPr>
                <w:rFonts w:hint="eastAsia" w:ascii="微软雅黑" w:hAnsi="微软雅黑" w:eastAsia="微软雅黑" w:cs="微软雅黑"/>
                <w:color w:val="000000"/>
                <w:kern w:val="0"/>
                <w:sz w:val="18"/>
                <w:szCs w:val="18"/>
              </w:rPr>
              <w:t>16mm2</w:t>
            </w:r>
            <w:r>
              <w:rPr>
                <w:rFonts w:hint="eastAsia" w:ascii="微软雅黑" w:hAnsi="微软雅黑" w:eastAsia="微软雅黑" w:cs="微软雅黑"/>
                <w:color w:val="000000"/>
                <w:kern w:val="0"/>
                <w:sz w:val="18"/>
                <w:szCs w:val="18"/>
              </w:rPr>
              <w:t>；铜线截面不得小于10</w:t>
            </w:r>
            <w:r>
              <w:rPr>
                <w:rFonts w:hint="eastAsia" w:ascii="微软雅黑" w:hAnsi="微软雅黑" w:eastAsia="微软雅黑" w:cs="微软雅黑"/>
                <w:color w:val="000000"/>
                <w:kern w:val="0"/>
                <w:sz w:val="18"/>
                <w:szCs w:val="18"/>
              </w:rPr>
              <w:t>mm2</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架空导线的相序排列：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工作零线与相线在一个横担架设时，导线相序排列是：面向负荷从左侧起为</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(N)</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和保护零线在同一横担架设时，导线相序排列是：面向负荷从左侧起为</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(PE)</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动力线、照明线在两个横担上分别架设时，上层横担，面向负荷从左侧起为</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下层横担，面向负荷从左侧起为</w:t>
            </w:r>
            <w:r>
              <w:rPr>
                <w:rFonts w:hint="eastAsia" w:ascii="微软雅黑" w:hAnsi="微软雅黑" w:eastAsia="微软雅黑" w:cs="微软雅黑"/>
                <w:color w:val="000000"/>
                <w:kern w:val="0"/>
                <w:sz w:val="18"/>
                <w:szCs w:val="18"/>
              </w:rPr>
              <w:t>A(B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(PE)</w:t>
            </w:r>
            <w:r>
              <w:rPr>
                <w:rFonts w:hint="eastAsia" w:ascii="微软雅黑" w:hAnsi="微软雅黑" w:eastAsia="微软雅黑" w:cs="微软雅黑"/>
                <w:color w:val="000000"/>
                <w:kern w:val="0"/>
                <w:sz w:val="18"/>
                <w:szCs w:val="18"/>
              </w:rPr>
              <w:t>；在两个以上横担上架设时，最下层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横担面向负荷，最右边的导线为保护零线</w:t>
            </w:r>
            <w:r>
              <w:rPr>
                <w:rFonts w:hint="eastAsia" w:ascii="微软雅黑" w:hAnsi="微软雅黑" w:eastAsia="微软雅黑" w:cs="微软雅黑"/>
                <w:color w:val="000000"/>
                <w:kern w:val="0"/>
                <w:sz w:val="18"/>
                <w:szCs w:val="18"/>
              </w:rPr>
              <w:t>(PE)</w:t>
            </w:r>
          </w:p>
        </w:tc>
      </w:tr>
      <w:tr>
        <w:tblPrEx>
          <w:tblLayout w:type="fixed"/>
          <w:tblCellMar>
            <w:top w:w="0" w:type="dxa"/>
            <w:left w:w="0" w:type="dxa"/>
            <w:bottom w:w="0" w:type="dxa"/>
            <w:right w:w="0" w:type="dxa"/>
          </w:tblCellMar>
        </w:tblPrEx>
        <w:trPr>
          <w:trHeight w:val="1752" w:hRule="atLeast"/>
        </w:trPr>
        <w:tc>
          <w:tcPr>
            <w:tcW w:w="446" w:type="dxa"/>
            <w:gridSpan w:val="2"/>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90" w:type="dxa"/>
            <w:gridSpan w:val="4"/>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电缆线路的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室外电缆的敷设分为埋地和架空两种方式，以埋地敷设为宜。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室外电缆埋地：安全可靠，人身危害大量减少；维修量大大减少；线路不易受雷电袭击。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室内外电缆的敷设：应以经济、方便、安全、可靠为依据；电缆直接埋地的深度应不小于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0.6m</w:t>
            </w:r>
            <w:r>
              <w:rPr>
                <w:rFonts w:hint="eastAsia" w:ascii="微软雅黑" w:hAnsi="微软雅黑" w:eastAsia="微软雅黑" w:cs="微软雅黑"/>
                <w:color w:val="000000"/>
                <w:kern w:val="0"/>
                <w:sz w:val="18"/>
                <w:szCs w:val="18"/>
              </w:rPr>
              <w:t>，并在电缆上下各均匀铺设不小于</w:t>
            </w:r>
            <w:r>
              <w:rPr>
                <w:rFonts w:hint="eastAsia" w:ascii="微软雅黑" w:hAnsi="微软雅黑" w:eastAsia="微软雅黑" w:cs="微软雅黑"/>
                <w:color w:val="000000"/>
                <w:kern w:val="0"/>
                <w:sz w:val="18"/>
                <w:szCs w:val="18"/>
              </w:rPr>
              <w:t>50mm</w:t>
            </w:r>
            <w:r>
              <w:rPr>
                <w:rFonts w:hint="eastAsia" w:ascii="微软雅黑" w:hAnsi="微软雅黑" w:eastAsia="微软雅黑" w:cs="微软雅黑"/>
                <w:color w:val="000000"/>
                <w:kern w:val="0"/>
                <w:sz w:val="18"/>
                <w:szCs w:val="18"/>
              </w:rPr>
              <w:t>厚的细沙，然后覆盖砖等硬质保护层；电缆穿越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易受机械损伤的场所时应加防护套管；橡皮电缆架空敷设时，应沿墙壁或电杆设置；在建高层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建筑内，可采用铝芯塑料电缆垂直敷设</w:t>
            </w:r>
          </w:p>
        </w:tc>
      </w:tr>
      <w:tr>
        <w:tblPrEx>
          <w:tblLayout w:type="fixed"/>
          <w:tblCellMar>
            <w:top w:w="0" w:type="dxa"/>
            <w:left w:w="0" w:type="dxa"/>
            <w:bottom w:w="0" w:type="dxa"/>
            <w:right w:w="0" w:type="dxa"/>
          </w:tblCellMar>
        </w:tblPrEx>
        <w:trPr>
          <w:gridAfter w:val="1"/>
          <w:wAfter w:w="58" w:type="dxa"/>
          <w:trHeight w:val="307" w:hRule="atLeast"/>
        </w:trPr>
        <w:tc>
          <w:tcPr>
            <w:tcW w:w="1579" w:type="dxa"/>
            <w:gridSpan w:val="5"/>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58" w:type="dxa"/>
          <w:trHeight w:val="940" w:hRule="atLeast"/>
        </w:trPr>
        <w:tc>
          <w:tcPr>
            <w:tcW w:w="379"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tc>
        <w:tc>
          <w:tcPr>
            <w:tcW w:w="403" w:type="dxa"/>
            <w:gridSpan w:val="2"/>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配电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箱与</w:t>
            </w: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设置原则</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现场应设总配电箱</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或配电室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，总配电箱以下设分配电箱，分配电箱以下设开关箱，开关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箱以下就是用电设备。施工现场的照明配电宜与动力配电分别设置，各自自成独立配电系统。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以不致因动力停电或电气故障而影响照明</w:t>
            </w:r>
          </w:p>
        </w:tc>
      </w:tr>
      <w:tr>
        <w:tblPrEx>
          <w:tblLayout w:type="fixed"/>
          <w:tblCellMar>
            <w:top w:w="0" w:type="dxa"/>
            <w:left w:w="0" w:type="dxa"/>
            <w:bottom w:w="0" w:type="dxa"/>
            <w:right w:w="0" w:type="dxa"/>
          </w:tblCellMar>
        </w:tblPrEx>
        <w:trPr>
          <w:gridAfter w:val="1"/>
          <w:wAfter w:w="58" w:type="dxa"/>
          <w:trHeight w:val="1118" w:hRule="atLeast"/>
        </w:trPr>
        <w:tc>
          <w:tcPr>
            <w:tcW w:w="379"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关箱</w:t>
            </w:r>
          </w:p>
        </w:tc>
        <w:tc>
          <w:tcPr>
            <w:tcW w:w="403" w:type="dxa"/>
            <w:gridSpan w:val="2"/>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箱的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位置选择与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环境条件</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分配电箱则应设置负荷相对集中的地区；开关箱与所控制的用电设备的距离应不大于</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配电箱、开关箱的周围环境应保障箱内开关电器正常、可靠地工作；除此以外，配电箱、开关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箱周围的空间条件，则应保证足够的工作场地和通道，不应放置有碍操作、维修和对电气线路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有操作损伤的杂物，不应有灌木、杂草</w:t>
            </w:r>
          </w:p>
        </w:tc>
      </w:tr>
      <w:tr>
        <w:tblPrEx>
          <w:tblLayout w:type="fixed"/>
          <w:tblCellMar>
            <w:top w:w="0" w:type="dxa"/>
            <w:left w:w="0" w:type="dxa"/>
            <w:bottom w:w="0" w:type="dxa"/>
            <w:right w:w="0" w:type="dxa"/>
          </w:tblCellMar>
        </w:tblPrEx>
        <w:trPr>
          <w:gridAfter w:val="1"/>
          <w:wAfter w:w="58" w:type="dxa"/>
          <w:trHeight w:val="633" w:hRule="atLeast"/>
        </w:trPr>
        <w:tc>
          <w:tcPr>
            <w:tcW w:w="379"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4"/>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配电箱与开关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箱的电器选择</w:t>
            </w: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配电箱、开关箱内的开关电器应能保证在正常或故障情况下可靠地分断电路，在漏电的情况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下可靠地使漏电设备脱离电源，在维修时有明确可见的电源分断点</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建筑施工防火安全(表8—12)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表8—12建筑施工防火安全</w:t>
      </w:r>
    </w:p>
    <w:tbl>
      <w:tblPr>
        <w:tblStyle w:val="4"/>
        <w:tblW w:w="8409" w:type="dxa"/>
        <w:tblInd w:w="15" w:type="dxa"/>
        <w:tblLayout w:type="fixed"/>
        <w:tblCellMar>
          <w:top w:w="0" w:type="dxa"/>
          <w:left w:w="0" w:type="dxa"/>
          <w:bottom w:w="0" w:type="dxa"/>
          <w:right w:w="0" w:type="dxa"/>
        </w:tblCellMar>
      </w:tblPr>
      <w:tblGrid>
        <w:gridCol w:w="465"/>
        <w:gridCol w:w="1114"/>
        <w:gridCol w:w="9"/>
        <w:gridCol w:w="6821"/>
      </w:tblGrid>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建筑材料燃烧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性能基础知识</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我国将建筑构件按其燃烧性能划分为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类：不燃烧体、难燃烧体、燃烧体。建筑物的耐火能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力取决于建筑构件的耐火性能，它是以耐火极限来衡量的。</w:t>
            </w:r>
          </w:p>
        </w:tc>
      </w:tr>
      <w:tr>
        <w:tblPrEx>
          <w:tblLayout w:type="fixed"/>
          <w:tblCellMar>
            <w:top w:w="0" w:type="dxa"/>
            <w:left w:w="0" w:type="dxa"/>
            <w:bottom w:w="0" w:type="dxa"/>
            <w:right w:w="0" w:type="dxa"/>
          </w:tblCellMar>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50"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建筑材料燃烧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性能基础知识</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我国国家标准《建筑材料燃烧性能分级方法》</w:t>
            </w:r>
            <w:r>
              <w:rPr>
                <w:rFonts w:hint="eastAsia" w:ascii="微软雅黑" w:hAnsi="微软雅黑" w:eastAsia="微软雅黑" w:cs="微软雅黑"/>
                <w:color w:val="000000"/>
                <w:kern w:val="0"/>
                <w:sz w:val="18"/>
                <w:szCs w:val="18"/>
              </w:rPr>
              <w:t>(GB 8624</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2012)</w:t>
            </w:r>
            <w:r>
              <w:rPr>
                <w:rFonts w:hint="eastAsia" w:ascii="微软雅黑" w:hAnsi="微软雅黑" w:eastAsia="微软雅黑" w:cs="微软雅黑"/>
                <w:color w:val="000000"/>
                <w:kern w:val="0"/>
                <w:sz w:val="18"/>
                <w:szCs w:val="18"/>
              </w:rPr>
              <w:t>将建筑材料按其燃烧性能划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分为四级：</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级表示是不燃材料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B1</w:t>
            </w:r>
            <w:r>
              <w:rPr>
                <w:rFonts w:hint="eastAsia" w:ascii="微软雅黑" w:hAnsi="微软雅黑" w:eastAsia="微软雅黑" w:cs="微软雅黑"/>
                <w:color w:val="000000"/>
                <w:kern w:val="0"/>
                <w:sz w:val="18"/>
                <w:szCs w:val="18"/>
              </w:rPr>
              <w:t>级表示是难燃材料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B2</w:t>
            </w:r>
            <w:r>
              <w:rPr>
                <w:rFonts w:hint="eastAsia" w:ascii="微软雅黑" w:hAnsi="微软雅黑" w:eastAsia="微软雅黑" w:cs="微软雅黑"/>
                <w:color w:val="000000"/>
                <w:kern w:val="0"/>
                <w:sz w:val="18"/>
                <w:szCs w:val="18"/>
              </w:rPr>
              <w:t>级表示是可燃材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B3</w:t>
            </w:r>
            <w:r>
              <w:rPr>
                <w:rFonts w:hint="eastAsia" w:ascii="微软雅黑" w:hAnsi="微软雅黑" w:eastAsia="微软雅黑" w:cs="微软雅黑"/>
                <w:color w:val="000000"/>
                <w:kern w:val="0"/>
                <w:sz w:val="18"/>
                <w:szCs w:val="18"/>
              </w:rPr>
              <w:t>级表示是易燃材料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制品</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间接原因</w:t>
            </w: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包括技术的原因和管理的原因</w:t>
            </w:r>
          </w:p>
        </w:tc>
      </w:tr>
      <w:tr>
        <w:tblPrEx>
          <w:tblLayout w:type="fixed"/>
          <w:tblCellMar>
            <w:top w:w="0" w:type="dxa"/>
            <w:left w:w="0" w:type="dxa"/>
            <w:bottom w:w="0" w:type="dxa"/>
            <w:right w:w="0" w:type="dxa"/>
          </w:tblCellMar>
        </w:tblPrEx>
        <w:trPr>
          <w:trHeight w:val="1185"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直接原因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现场的设施不符合消防安全的要求。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缺少防火、防爆安全装置和设施。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在高处实施电焊、气割作业时，对作业的周嗣和下方缺少防护遮挡。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雷击、地震、大风、洪水等天灾；雷暴区季节性施工避雷设施失效</w:t>
            </w:r>
          </w:p>
        </w:tc>
      </w:tr>
      <w:tr>
        <w:tblPrEx>
          <w:tblLayout w:type="fixed"/>
          <w:tblCellMar>
            <w:top w:w="0" w:type="dxa"/>
            <w:left w:w="0" w:type="dxa"/>
            <w:bottom w:w="0" w:type="dxa"/>
            <w:right w:w="0" w:type="dxa"/>
          </w:tblCellMar>
        </w:tblPrEx>
        <w:trPr>
          <w:trHeight w:val="1190"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炸的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灾害扩大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的原因</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作业人员对异常情况不能正确判断、及时报告处理。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现场消防制度不落实，措施不落实，无灭火器材或灭火剂失效。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延误报火警，消防人员未能及时到达火场灭火。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因防火间距不足，可燃物质数量多，大风天气等而无法短时间灭火</w:t>
            </w:r>
          </w:p>
        </w:tc>
      </w:tr>
      <w:tr>
        <w:tblPrEx>
          <w:tblLayout w:type="fixed"/>
          <w:tblCellMar>
            <w:top w:w="0" w:type="dxa"/>
            <w:left w:w="0" w:type="dxa"/>
            <w:bottom w:w="0" w:type="dxa"/>
            <w:right w:w="0" w:type="dxa"/>
          </w:tblCellMar>
        </w:tblPrEx>
        <w:trPr>
          <w:trHeight w:val="3033"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防火防爆措施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要明确划分出禁火作业区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易燃、可燃材料的堆放场地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、仓库区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易燃废料的堆放区</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和现场的生活区，各区域之间要按规定保持如下防火安全距离：禁火作业区距离生活区不小于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15m</w:t>
            </w:r>
            <w:r>
              <w:rPr>
                <w:rFonts w:hint="eastAsia" w:ascii="微软雅黑" w:hAnsi="微软雅黑" w:eastAsia="微软雅黑" w:cs="微软雅黑"/>
                <w:color w:val="000000"/>
                <w:kern w:val="0"/>
                <w:sz w:val="18"/>
                <w:szCs w:val="18"/>
              </w:rPr>
              <w:t>，距离其他区域不小于</w:t>
            </w:r>
            <w:r>
              <w:rPr>
                <w:rFonts w:hint="eastAsia" w:ascii="微软雅黑" w:hAnsi="微软雅黑" w:eastAsia="微软雅黑" w:cs="微软雅黑"/>
                <w:color w:val="000000"/>
                <w:kern w:val="0"/>
                <w:sz w:val="18"/>
                <w:szCs w:val="18"/>
              </w:rPr>
              <w:t>25m</w:t>
            </w:r>
            <w:r>
              <w:rPr>
                <w:rFonts w:hint="eastAsia" w:ascii="微软雅黑" w:hAnsi="微软雅黑" w:eastAsia="微软雅黑" w:cs="微软雅黑"/>
                <w:color w:val="000000"/>
                <w:kern w:val="0"/>
                <w:sz w:val="18"/>
                <w:szCs w:val="18"/>
              </w:rPr>
              <w:t>；易燃、可燃材料堆料场及仓库与在建工程和其他区域的距离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应不小于</w:t>
            </w:r>
            <w:r>
              <w:rPr>
                <w:rFonts w:hint="eastAsia" w:ascii="微软雅黑" w:hAnsi="微软雅黑" w:eastAsia="微软雅黑" w:cs="微软雅黑"/>
                <w:color w:val="000000"/>
                <w:kern w:val="0"/>
                <w:sz w:val="18"/>
                <w:szCs w:val="18"/>
              </w:rPr>
              <w:t>20m</w:t>
            </w:r>
            <w:r>
              <w:rPr>
                <w:rFonts w:hint="eastAsia" w:ascii="微软雅黑" w:hAnsi="微软雅黑" w:eastAsia="微软雅黑" w:cs="微软雅黑"/>
                <w:color w:val="000000"/>
                <w:kern w:val="0"/>
                <w:sz w:val="18"/>
                <w:szCs w:val="18"/>
              </w:rPr>
              <w:t>；易燃的废品集中场地与在建工程和其他区域的距离应不小于</w:t>
            </w:r>
            <w:r>
              <w:rPr>
                <w:rFonts w:hint="eastAsia" w:ascii="微软雅黑" w:hAnsi="微软雅黑" w:eastAsia="微软雅黑" w:cs="微软雅黑"/>
                <w:color w:val="000000"/>
                <w:kern w:val="0"/>
                <w:sz w:val="18"/>
                <w:szCs w:val="18"/>
              </w:rPr>
              <w:t>30m</w:t>
            </w:r>
            <w:r>
              <w:rPr>
                <w:rFonts w:hint="eastAsia" w:ascii="微软雅黑" w:hAnsi="微软雅黑" w:eastAsia="微软雅黑" w:cs="微软雅黑"/>
                <w:color w:val="000000"/>
                <w:kern w:val="0"/>
                <w:sz w:val="18"/>
                <w:szCs w:val="18"/>
              </w:rPr>
              <w:t>；防火间距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内，不应堆放易燃和可燃材料。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在一、二级动火区域施工，施工单位必须认真遵守消防法律法规，建立防火安全规章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电气防火防爆措施。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焊接、切割中防火防爆措施。对焊、割构件和焊、割场所，可采取以下措施：转移、隔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离、置换、清洗、移去危险品、加强通风、提高湿度，进行冷却、备好灭火器材。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其他的防火防爆措施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bookmarkStart w:id="0" w:name="_GoBack"/>
      <w:bookmarkEnd w:id="0"/>
    </w:p>
    <w:p>
      <w:pPr>
        <w:rPr>
          <w:rFonts w:hint="eastAsia" w:ascii="微软雅黑" w:hAnsi="微软雅黑" w:eastAsia="微软雅黑" w:cs="微软雅黑"/>
          <w:color w:val="00000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18EF"/>
    <w:rsid w:val="00004ED3"/>
    <w:rsid w:val="002473F9"/>
    <w:rsid w:val="0029072F"/>
    <w:rsid w:val="00597519"/>
    <w:rsid w:val="00707B24"/>
    <w:rsid w:val="008B18EF"/>
    <w:rsid w:val="008E3F9E"/>
    <w:rsid w:val="00CD74B1"/>
    <w:rsid w:val="6F8B0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3304</Words>
  <Characters>18838</Characters>
  <Lines>156</Lines>
  <Paragraphs>44</Paragraphs>
  <TotalTime>0</TotalTime>
  <ScaleCrop>false</ScaleCrop>
  <LinksUpToDate>false</LinksUpToDate>
  <CharactersWithSpaces>22098</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2017-06-20T02:00:00Z</dcterms:created>
  <dc:creator>个人用户</dc:creator>
  <cp:lastModifiedBy>hp</cp:lastModifiedBy>
  <dcterms:modified xsi:type="dcterms:W3CDTF">2017-08-26T12:47:20Z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